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智能</w:t>
      </w:r>
      <w:r>
        <w:rPr>
          <w:rFonts w:hint="eastAsia" w:ascii="宋体" w:hAnsi="宋体" w:eastAsia="宋体" w:cs="___WRD_EMBED_SUB_1321"/>
          <w:b/>
          <w:bCs/>
          <w:sz w:val="44"/>
          <w:szCs w:val="44"/>
        </w:rPr>
        <w:t>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全云网</w:t>
      </w:r>
      <w:r>
        <w:rPr>
          <w:rFonts w:hint="eastAsia" w:ascii="宋体" w:hAnsi="宋体" w:eastAsia="宋体" w:cs="方正公文小标宋"/>
          <w:b/>
          <w:bCs/>
          <w:sz w:val="44"/>
          <w:szCs w:val="44"/>
        </w:rPr>
        <w:t>SDN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控制器关键</w:t>
      </w:r>
      <w:r>
        <w:rPr>
          <w:rFonts w:hint="eastAsia" w:ascii="宋体" w:hAnsi="宋体" w:eastAsia="宋体" w:cs="___WRD_EMBED_SUB_1321"/>
          <w:b/>
          <w:bCs/>
          <w:sz w:val="44"/>
          <w:szCs w:val="44"/>
        </w:rPr>
        <w:t>技术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自主研发与大规模应用</w:t>
      </w:r>
    </w:p>
    <w:p>
      <w:pPr>
        <w:jc w:val="center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项目名称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智能安全云网SDN控制器关键技术自主研发与大规模应用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提名者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安徽省通信管理局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提名奖项类别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ascii="仿宋" w:hAnsi="仿宋" w:eastAsia="仿宋" w:cs="仿宋_GB2312"/>
          <w:sz w:val="32"/>
          <w:szCs w:val="40"/>
        </w:rPr>
        <w:t>科学技术进步奖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主要完成单位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中电信量子信息科技集团有限公司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五、主要完成人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王振、孙琼、严国忠、宋波、陈慧光、高兵、杨浩、曹荆珂、刑亮、王爱俊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六、主要知识产权及标准规范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项目提出了安</w:t>
      </w:r>
      <w:r>
        <w:rPr>
          <w:rFonts w:ascii="仿宋" w:hAnsi="仿宋" w:eastAsia="仿宋" w:cs="仿宋_GB2312"/>
          <w:sz w:val="32"/>
          <w:szCs w:val="40"/>
        </w:rPr>
        <w:t>全智能敏捷的云承载网自智架构</w:t>
      </w:r>
      <w:r>
        <w:rPr>
          <w:rFonts w:hint="eastAsia" w:ascii="仿宋" w:hAnsi="仿宋" w:eastAsia="仿宋" w:cs="仿宋_GB2312"/>
          <w:sz w:val="32"/>
          <w:szCs w:val="40"/>
        </w:rPr>
        <w:t>、QKDN网络与传统云网运营系统融合架构、云网一体多因子算路、量子秘钥协商及设备认证方法、API接口标准等关键技术，提升</w:t>
      </w:r>
      <w:r>
        <w:rPr>
          <w:rFonts w:ascii="仿宋" w:hAnsi="仿宋" w:eastAsia="仿宋" w:cs="仿宋_GB2312"/>
          <w:sz w:val="32"/>
          <w:szCs w:val="40"/>
        </w:rPr>
        <w:t>应用系统调用效率和灵活性，网络能力形成由月级缩短至天级。</w:t>
      </w:r>
      <w:r>
        <w:rPr>
          <w:rFonts w:hint="eastAsia" w:ascii="仿宋" w:hAnsi="仿宋" w:eastAsia="仿宋" w:cs="仿宋_GB2312"/>
          <w:sz w:val="32"/>
          <w:szCs w:val="40"/>
        </w:rPr>
        <w:t>共获得发明专利授权16项，发布ITEF标准3项、ITU标准1项、4行业标准项，发表论文6篇，获</w:t>
      </w:r>
      <w:r>
        <w:rPr>
          <w:rFonts w:ascii="仿宋" w:hAnsi="仿宋" w:eastAsia="仿宋" w:cs="仿宋_GB2312"/>
          <w:sz w:val="32"/>
          <w:szCs w:val="40"/>
        </w:rPr>
        <w:t>得SDN控制器管理平台等4项软著。</w:t>
      </w:r>
      <w:r>
        <w:rPr>
          <w:rFonts w:hint="eastAsia" w:ascii="仿宋" w:hAnsi="仿宋" w:eastAsia="仿宋" w:cs="仿宋_GB2312"/>
          <w:sz w:val="32"/>
          <w:szCs w:val="40"/>
        </w:rPr>
        <w:t>主要知识产权和标准规范等明细如下表所示：</w:t>
      </w:r>
    </w:p>
    <w:tbl>
      <w:tblPr>
        <w:tblStyle w:val="6"/>
        <w:tblW w:w="518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61"/>
        <w:gridCol w:w="1338"/>
        <w:gridCol w:w="700"/>
        <w:gridCol w:w="1030"/>
        <w:gridCol w:w="728"/>
        <w:gridCol w:w="822"/>
        <w:gridCol w:w="1357"/>
        <w:gridCol w:w="1370"/>
        <w:gridCol w:w="6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序号</w:t>
            </w:r>
          </w:p>
        </w:tc>
        <w:tc>
          <w:tcPr>
            <w:tcW w:w="20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类别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知识产权（标准）具体名称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国家</w:t>
            </w:r>
          </w:p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（地区）</w:t>
            </w:r>
          </w:p>
        </w:tc>
        <w:tc>
          <w:tcPr>
            <w:tcW w:w="58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授权号（标准编号）</w:t>
            </w:r>
          </w:p>
        </w:tc>
        <w:tc>
          <w:tcPr>
            <w:tcW w:w="41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授权日期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证书编号</w:t>
            </w:r>
          </w:p>
        </w:tc>
        <w:tc>
          <w:tcPr>
            <w:tcW w:w="76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权利人（标准起草单位）</w:t>
            </w:r>
          </w:p>
        </w:tc>
        <w:tc>
          <w:tcPr>
            <w:tcW w:w="77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发明人（标准起草人）</w:t>
            </w:r>
          </w:p>
        </w:tc>
        <w:tc>
          <w:tcPr>
            <w:tcW w:w="38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  <w:szCs w:val="20"/>
              </w:rPr>
            </w:pPr>
            <w:r>
              <w:rPr>
                <w:rFonts w:hint="eastAsia" w:ascii="仿宋" w:hAnsi="仿宋" w:cs="仿宋_GB2312"/>
                <w:color w:val="auto"/>
                <w:szCs w:val="20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一种用于云工作负载预测的生成对抗性方法和系统</w:t>
            </w:r>
          </w:p>
        </w:tc>
        <w:tc>
          <w:tcPr>
            <w:tcW w:w="395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202311748246.2</w:t>
            </w:r>
          </w:p>
        </w:tc>
        <w:tc>
          <w:tcPr>
            <w:tcW w:w="411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2024年9月17日</w:t>
            </w:r>
          </w:p>
        </w:tc>
        <w:tc>
          <w:tcPr>
            <w:tcW w:w="464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7496916</w:t>
            </w:r>
          </w:p>
        </w:tc>
        <w:tc>
          <w:tcPr>
            <w:tcW w:w="766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中电信量子信息科技集团有限公司</w:t>
            </w:r>
          </w:p>
        </w:tc>
        <w:tc>
          <w:tcPr>
            <w:tcW w:w="774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王雷、王振</w:t>
            </w:r>
          </w:p>
        </w:tc>
        <w:tc>
          <w:tcPr>
            <w:tcW w:w="380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国家行业标准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基于SDN/NFV智能通信网络 随愿网络总体技术架构及技术要求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YD/T 4459-2023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2023-12-20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CCSA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中国电信集团有限公司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孙琼、张鑫、刘树成、孟伟、谢坤、李福亮、冯小芳、罗成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3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云资源管理方法、装置、电子设备及存储介质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/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/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/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中国电信股份有限公司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严国忠、吴兴国、胡林森、陶小俊、许良、王振武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公开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转发路径的确定方法、装置及SDN控制器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CN113472659A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2021.10.01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已授权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中国电信股份有限公司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高兵、陶涛、罗小明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5</w:t>
            </w:r>
          </w:p>
        </w:tc>
        <w:tc>
          <w:tcPr>
            <w:tcW w:w="204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信息保护方法、通信方法、网络设备、通信系统和存储介质</w:t>
            </w:r>
          </w:p>
        </w:tc>
        <w:tc>
          <w:tcPr>
            <w:tcW w:w="395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202411191576.0</w:t>
            </w:r>
          </w:p>
        </w:tc>
        <w:tc>
          <w:tcPr>
            <w:tcW w:w="411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2025年1月3日</w:t>
            </w:r>
          </w:p>
        </w:tc>
        <w:tc>
          <w:tcPr>
            <w:tcW w:w="464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7646916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中电信量子信息科技集团有限公司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杨浩、王宁、高兵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基于意图的网络的业务配置方法、装置以及存储介质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CN113055206B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2022-6-17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5237813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中国电信股份有限公司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黄宗和、孙琼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7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发明专利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云工作负载预测方法、装置、设备及存储介质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202311694035.5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2024年3月8日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7378074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中电信量子信息科技集团有限公司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王雷、王振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8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国际标准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RFC8821- PCE-Based Traffic Engineering (TE) in Native IP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国际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RFC 8821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2021-4-30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IETF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中国电信集团有限公司，Yandex LLC，Etheric Networks，Futurewei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王爱俊、Boris Khasanov、Quintin Zhao、Huaimo Chen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9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国际标准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RFC8735- Scenarios and Simulation Results of PCE in a Native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国际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RFC 8735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2020-2-29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IETF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中国电信集团有限公司，Beijing University of Posts and Telecommunications，China Mobile，Huawei Technologies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王爱俊、Xiaohong Huang、Caixia Kou、Zhenqiang Li、Penghui Mi</w:t>
            </w:r>
          </w:p>
        </w:tc>
        <w:tc>
          <w:tcPr>
            <w:tcW w:w="380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10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论文</w:t>
            </w:r>
          </w:p>
        </w:tc>
        <w:tc>
          <w:tcPr>
            <w:tcW w:w="75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Performance analysis of the air-ground integrated vehicular networks Ahierarchical model approach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SCI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/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2023-11-20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Ad Hoc Networks 154(2024)103359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>中国电信股份有限公司研究院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  <w:r>
              <w:rPr>
                <w:rFonts w:hint="eastAsia" w:ascii="仿宋" w:hAnsi="仿宋" w:cs="仿宋_GB2312"/>
                <w:color w:val="auto"/>
              </w:rPr>
              <w:t xml:space="preserve">Lili Jiang * , 孙琼、陈慧光,、Ying Sun, Yaping Cao, Hao Yu, Huan Li, Xiaoyu Zhao, Yanjiao Zhao, Sibo Wang </w:t>
            </w:r>
          </w:p>
        </w:tc>
        <w:tc>
          <w:tcPr>
            <w:tcW w:w="380" w:type="pc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hint="eastAsia" w:ascii="仿宋" w:hAnsi="仿宋" w:cs="仿宋_GB2312"/>
                <w:color w:val="auto"/>
              </w:rPr>
            </w:pPr>
          </w:p>
        </w:tc>
      </w:tr>
    </w:tbl>
    <w:p>
      <w:pPr>
        <w:pStyle w:val="3"/>
        <w:spacing w:line="340" w:lineRule="exact"/>
        <w:jc w:val="center"/>
        <w:rPr>
          <w:rFonts w:hint="eastAsia"/>
          <w:color w:val="auto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/>
        </w:rPr>
        <w:t>     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___WRD_EMBED_SUB_1321">
    <w:altName w:val="华文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简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BE172"/>
    <w:multiLevelType w:val="singleLevel"/>
    <w:tmpl w:val="61CBE1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D"/>
    <w:rsid w:val="00310A91"/>
    <w:rsid w:val="00340EE9"/>
    <w:rsid w:val="00433F97"/>
    <w:rsid w:val="005F10E0"/>
    <w:rsid w:val="009C0EDD"/>
    <w:rsid w:val="00A34F8A"/>
    <w:rsid w:val="07EE1AC0"/>
    <w:rsid w:val="0A3A317C"/>
    <w:rsid w:val="0C61547A"/>
    <w:rsid w:val="0D254DEB"/>
    <w:rsid w:val="0DA37F2B"/>
    <w:rsid w:val="0DC274AE"/>
    <w:rsid w:val="0ED10695"/>
    <w:rsid w:val="12BD40D5"/>
    <w:rsid w:val="12D3594A"/>
    <w:rsid w:val="133D141C"/>
    <w:rsid w:val="14E624E2"/>
    <w:rsid w:val="16810304"/>
    <w:rsid w:val="17742506"/>
    <w:rsid w:val="1A3F6DFB"/>
    <w:rsid w:val="1B742D31"/>
    <w:rsid w:val="1BF43C15"/>
    <w:rsid w:val="1E7B23CC"/>
    <w:rsid w:val="22EC3898"/>
    <w:rsid w:val="23A44173"/>
    <w:rsid w:val="2776199A"/>
    <w:rsid w:val="27FC6A66"/>
    <w:rsid w:val="28F57575"/>
    <w:rsid w:val="2DAD00C8"/>
    <w:rsid w:val="2E2A1718"/>
    <w:rsid w:val="2E750BE6"/>
    <w:rsid w:val="2EA14209"/>
    <w:rsid w:val="2EFF6701"/>
    <w:rsid w:val="2FAC234A"/>
    <w:rsid w:val="314E2C66"/>
    <w:rsid w:val="326D51AA"/>
    <w:rsid w:val="35DB6085"/>
    <w:rsid w:val="38037262"/>
    <w:rsid w:val="396B71E3"/>
    <w:rsid w:val="40CE4185"/>
    <w:rsid w:val="41505533"/>
    <w:rsid w:val="42FE4F8D"/>
    <w:rsid w:val="44753296"/>
    <w:rsid w:val="45BE05DE"/>
    <w:rsid w:val="487B3778"/>
    <w:rsid w:val="4B221565"/>
    <w:rsid w:val="4B8D5369"/>
    <w:rsid w:val="4CE52F83"/>
    <w:rsid w:val="4CF136D5"/>
    <w:rsid w:val="4D243AAB"/>
    <w:rsid w:val="4E0460EB"/>
    <w:rsid w:val="4E164FFE"/>
    <w:rsid w:val="4E4966F7"/>
    <w:rsid w:val="4E943DD0"/>
    <w:rsid w:val="4EF94AC3"/>
    <w:rsid w:val="4F6004B1"/>
    <w:rsid w:val="50535CF0"/>
    <w:rsid w:val="54F40048"/>
    <w:rsid w:val="576F457F"/>
    <w:rsid w:val="58B02697"/>
    <w:rsid w:val="5E14191A"/>
    <w:rsid w:val="5EE017FC"/>
    <w:rsid w:val="5F5A15AE"/>
    <w:rsid w:val="606D29DA"/>
    <w:rsid w:val="61AE798F"/>
    <w:rsid w:val="62724E61"/>
    <w:rsid w:val="65AE5912"/>
    <w:rsid w:val="65E55E01"/>
    <w:rsid w:val="66894C7C"/>
    <w:rsid w:val="66A575B3"/>
    <w:rsid w:val="67631D69"/>
    <w:rsid w:val="67762CFD"/>
    <w:rsid w:val="681F197D"/>
    <w:rsid w:val="69132D3A"/>
    <w:rsid w:val="69717C20"/>
    <w:rsid w:val="6BA02A3F"/>
    <w:rsid w:val="6C4B74E2"/>
    <w:rsid w:val="6E3A43B1"/>
    <w:rsid w:val="6FDB76D8"/>
    <w:rsid w:val="758962F1"/>
    <w:rsid w:val="75C10104"/>
    <w:rsid w:val="76516E0F"/>
    <w:rsid w:val="7C4F50D2"/>
    <w:rsid w:val="7CFE1373"/>
    <w:rsid w:val="7F187392"/>
    <w:rsid w:val="F57A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paragraph" w:styleId="3">
    <w:name w:val="Plain Text"/>
    <w:basedOn w:val="1"/>
    <w:qFormat/>
    <w:uiPriority w:val="0"/>
    <w:pPr>
      <w:spacing w:line="300" w:lineRule="exact"/>
      <w:jc w:val="left"/>
    </w:pPr>
    <w:rPr>
      <w:rFonts w:ascii="宋体" w:hAnsi="宋体" w:eastAsia="仿宋"/>
      <w:color w:val="0D0D0D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1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698</Words>
  <Characters>1098</Characters>
  <Lines>219</Lines>
  <Paragraphs>119</Paragraphs>
  <TotalTime>0</TotalTime>
  <ScaleCrop>false</ScaleCrop>
  <LinksUpToDate>false</LinksUpToDate>
  <CharactersWithSpaces>1677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2025-06-17T14:55:00Z</dcterms:created>
  <dc:creator>Administrator</dc:creator>
  <cp:lastModifiedBy>kylin</cp:lastModifiedBy>
  <cp:lastPrinted>2025-06-12T15:18:00Z</cp:lastPrinted>
  <dcterms:modified xsi:type="dcterms:W3CDTF">2025-06-17T16:14:44Z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eyJoZGlkIjoiODM5NDQyY2VlNjYzZDRiYjFmYjk0NGQzZTk0Njc1NmYiLCJ1c2VySWQiOiI3Mjc1OTc0NzUifQ==</vt:lpwstr>
  </property>
  <property fmtid="{D5CDD505-2E9C-101B-9397-08002B2CF9AE}" pid="4" name="ICV">
    <vt:lpwstr>3E9D1B17C96A473A8859BD7975FDBA80_13</vt:lpwstr>
  </property>
</Properties>
</file>