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04B" w:rsidRPr="00B343AE" w:rsidRDefault="00B343AE" w:rsidP="00B343AE">
      <w:pPr>
        <w:spacing w:line="580" w:lineRule="exact"/>
        <w:rPr>
          <w:rFonts w:ascii="仿宋" w:eastAsia="仿宋" w:hAnsi="仿宋"/>
          <w:b/>
          <w:sz w:val="32"/>
          <w:szCs w:val="32"/>
        </w:rPr>
      </w:pPr>
      <w:r w:rsidRPr="00B343AE">
        <w:rPr>
          <w:rFonts w:ascii="仿宋" w:eastAsia="仿宋" w:hAnsi="仿宋" w:hint="eastAsia"/>
          <w:b/>
          <w:sz w:val="32"/>
          <w:szCs w:val="32"/>
        </w:rPr>
        <w:t>附件2</w:t>
      </w:r>
    </w:p>
    <w:p w:rsidR="00B343AE" w:rsidRDefault="00B343AE" w:rsidP="00E04249">
      <w:pPr>
        <w:jc w:val="center"/>
        <w:rPr>
          <w:rFonts w:ascii="仿宋" w:eastAsia="仿宋" w:hAnsi="仿宋" w:hint="eastAsia"/>
          <w:b/>
          <w:sz w:val="32"/>
          <w:szCs w:val="32"/>
        </w:rPr>
      </w:pPr>
    </w:p>
    <w:p w:rsidR="004A57F7" w:rsidRPr="00C66599" w:rsidRDefault="004A57F7" w:rsidP="00E04249">
      <w:pPr>
        <w:jc w:val="center"/>
        <w:rPr>
          <w:rFonts w:ascii="仿宋" w:eastAsia="仿宋" w:hAnsi="仿宋"/>
          <w:b/>
          <w:sz w:val="44"/>
          <w:szCs w:val="44"/>
        </w:rPr>
      </w:pPr>
      <w:r w:rsidRPr="00C66599">
        <w:rPr>
          <w:rFonts w:ascii="仿宋" w:eastAsia="仿宋" w:hAnsi="仿宋" w:hint="eastAsia"/>
          <w:b/>
          <w:sz w:val="44"/>
          <w:szCs w:val="44"/>
        </w:rPr>
        <w:t>重点整治问题的典型违规场景</w:t>
      </w:r>
    </w:p>
    <w:p w:rsidR="00B343AE" w:rsidRDefault="00B343AE" w:rsidP="00E5480F">
      <w:pPr>
        <w:ind w:firstLineChars="200" w:firstLine="643"/>
        <w:rPr>
          <w:rFonts w:ascii="仿宋" w:eastAsia="仿宋" w:hAnsi="仿宋" w:hint="eastAsia"/>
          <w:b/>
          <w:sz w:val="32"/>
          <w:szCs w:val="32"/>
        </w:rPr>
      </w:pPr>
      <w:bookmarkStart w:id="0" w:name="_GoBack"/>
      <w:bookmarkEnd w:id="0"/>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一、扰乱竞争秩序方面</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（一）“恶意对其他互联网企业服务或产品的网址链接实施屏蔽等不兼容行为”</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典型场景1：具有外部网址访问功能的即时通信软件，无正当理由限制其他互联网企业服务或产品的网址链接的识别、解析、正常访问。</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典型场景2：具有信息发布功能的应用软件，无正当理由对具有相同条件的其他互联网企业服务或产品的网址链接实施歧视性屏蔽措施。</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（二）“妨碍、破坏其他互联网企业服务或产品的正常安装、运行等恶意干扰行为”</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典型场景1：在互联网企业服务或产品安装、升级过程中，</w:t>
      </w:r>
      <w:proofErr w:type="gramStart"/>
      <w:r w:rsidRPr="002C0A38">
        <w:rPr>
          <w:rFonts w:ascii="仿宋" w:eastAsia="仿宋" w:hAnsi="仿宋" w:hint="eastAsia"/>
          <w:sz w:val="32"/>
          <w:szCs w:val="32"/>
        </w:rPr>
        <w:t>通过弹窗提示</w:t>
      </w:r>
      <w:proofErr w:type="gramEnd"/>
      <w:r w:rsidRPr="002C0A38">
        <w:rPr>
          <w:rFonts w:ascii="仿宋" w:eastAsia="仿宋" w:hAnsi="仿宋" w:hint="eastAsia"/>
          <w:sz w:val="32"/>
          <w:szCs w:val="32"/>
        </w:rPr>
        <w:t>，附加不必要的操作步骤等方式误导用户使用其他应用分发平台安装、升级。</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典型场景2：擅自关闭其他互联网企业服务或产品正常运行的必要权限，导致部分功能无法正常使用。</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二、侵害用户权益方面</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（三）“移动智能终端应用软件启动弹窗信息页面未提</w:t>
      </w:r>
      <w:r w:rsidRPr="00E04249">
        <w:rPr>
          <w:rFonts w:ascii="仿宋" w:eastAsia="仿宋" w:hAnsi="仿宋" w:hint="eastAsia"/>
          <w:b/>
          <w:sz w:val="32"/>
          <w:szCs w:val="32"/>
        </w:rPr>
        <w:lastRenderedPageBreak/>
        <w:t>供显著，有效的关闭或跳过功能，或利用文字、图片、视频等方式欺骗误导用户跳转至其他页面”</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典型场景1：APP启动时，开屏</w:t>
      </w:r>
      <w:proofErr w:type="gramStart"/>
      <w:r w:rsidRPr="002C0A38">
        <w:rPr>
          <w:rFonts w:ascii="仿宋" w:eastAsia="仿宋" w:hAnsi="仿宋" w:hint="eastAsia"/>
          <w:sz w:val="32"/>
          <w:szCs w:val="32"/>
        </w:rPr>
        <w:t>弹窗信息</w:t>
      </w:r>
      <w:proofErr w:type="gramEnd"/>
      <w:r w:rsidRPr="002C0A38">
        <w:rPr>
          <w:rFonts w:ascii="仿宋" w:eastAsia="仿宋" w:hAnsi="仿宋" w:hint="eastAsia"/>
          <w:sz w:val="32"/>
          <w:szCs w:val="32"/>
        </w:rPr>
        <w:t>页面未提供关闭／跳过按钮，或者按钮过小或非常隐蔽，导致用户找不到或者</w:t>
      </w:r>
      <w:proofErr w:type="gramStart"/>
      <w:r w:rsidRPr="002C0A38">
        <w:rPr>
          <w:rFonts w:ascii="仿宋" w:eastAsia="仿宋" w:hAnsi="仿宋" w:hint="eastAsia"/>
          <w:sz w:val="32"/>
          <w:szCs w:val="32"/>
        </w:rPr>
        <w:t>弹窗信息关</w:t>
      </w:r>
      <w:proofErr w:type="gramEnd"/>
      <w:r w:rsidRPr="002C0A38">
        <w:rPr>
          <w:rFonts w:ascii="仿宋" w:eastAsia="仿宋" w:hAnsi="仿宋" w:hint="eastAsia"/>
          <w:sz w:val="32"/>
          <w:szCs w:val="32"/>
        </w:rPr>
        <w:t>不掉，无法正常进入使用界面。</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典型场景2：APP启动时，开屏</w:t>
      </w:r>
      <w:proofErr w:type="gramStart"/>
      <w:r w:rsidRPr="002C0A38">
        <w:rPr>
          <w:rFonts w:ascii="仿宋" w:eastAsia="仿宋" w:hAnsi="仿宋" w:hint="eastAsia"/>
          <w:sz w:val="32"/>
          <w:szCs w:val="32"/>
        </w:rPr>
        <w:t>弹窗信息</w:t>
      </w:r>
      <w:proofErr w:type="gramEnd"/>
      <w:r w:rsidRPr="002C0A38">
        <w:rPr>
          <w:rFonts w:ascii="仿宋" w:eastAsia="仿宋" w:hAnsi="仿宋" w:hint="eastAsia"/>
          <w:sz w:val="32"/>
          <w:szCs w:val="32"/>
        </w:rPr>
        <w:t>页面使用整</w:t>
      </w:r>
      <w:proofErr w:type="gramStart"/>
      <w:r w:rsidRPr="002C0A38">
        <w:rPr>
          <w:rFonts w:ascii="仿宋" w:eastAsia="仿宋" w:hAnsi="仿宋" w:hint="eastAsia"/>
          <w:sz w:val="32"/>
          <w:szCs w:val="32"/>
        </w:rPr>
        <w:t>屏图片</w:t>
      </w:r>
      <w:proofErr w:type="gramEnd"/>
      <w:r w:rsidRPr="002C0A38">
        <w:rPr>
          <w:rFonts w:ascii="仿宋" w:eastAsia="仿宋" w:hAnsi="仿宋" w:hint="eastAsia"/>
          <w:sz w:val="32"/>
          <w:szCs w:val="32"/>
        </w:rPr>
        <w:t>作为跳转链接，或采用欺骗诱导性文字描述，导致用户在非知情自愿的情况下，碰触页面任意区域都跳转至其他页面或下载其他应用程序。</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四）“未征得用户同意向第三方提供用户个人信息，或未向用户明确列出第三方主体身份信息、处理目的、处理方式及个人信息种类等；提供个性化推荐服务时，未提供显著、便捷、有效的关闭个性化推荐服务的选项”</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典型场景1：APP未征求用户同意，或仅在用户隐私协议中以格式条款的形式强迫用户同意向第三方提供用户个人信息，且未详细列明第三方的主体身份信息、处理方式及个人信息种类等。</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典型场景2：APP的定向推送功能未对用户提供关闭此功能的选项，或者提供虚假的关闭选项。</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三、威胁数据安全方面</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（五）“在用户数据收集，传输、存储等环节，未按法律法规要求建立数据安全管理制度和采取必要的安全技术</w:t>
      </w:r>
      <w:r w:rsidRPr="00E04249">
        <w:rPr>
          <w:rFonts w:ascii="仿宋" w:eastAsia="仿宋" w:hAnsi="仿宋" w:hint="eastAsia"/>
          <w:b/>
          <w:sz w:val="32"/>
          <w:szCs w:val="32"/>
        </w:rPr>
        <w:lastRenderedPageBreak/>
        <w:t>措施”</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典型场景1：企业尚未制定数据全生命周期安全保护制度，未明确数据分类分级，权限管理，监测巡查、应急管理、投诉处理等操作规程和要求。</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典型场景2：企业收集的用户数据未采取数据分类、重要数据备份等措施。</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典型场景3：企业相关涉数据存储系统中未对用户身份信息等敏感数据进行加密存储、未采取访问和权限控制措施。</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典型场景4：在网站或移动应用程序前后端数据传输过程中，未对用户身份证号、用户鉴</w:t>
      </w:r>
      <w:proofErr w:type="gramStart"/>
      <w:r w:rsidRPr="002C0A38">
        <w:rPr>
          <w:rFonts w:ascii="仿宋" w:eastAsia="仿宋" w:hAnsi="仿宋" w:hint="eastAsia"/>
          <w:sz w:val="32"/>
          <w:szCs w:val="32"/>
        </w:rPr>
        <w:t>权信息</w:t>
      </w:r>
      <w:proofErr w:type="gramEnd"/>
      <w:r w:rsidRPr="002C0A38">
        <w:rPr>
          <w:rFonts w:ascii="仿宋" w:eastAsia="仿宋" w:hAnsi="仿宋" w:hint="eastAsia"/>
          <w:sz w:val="32"/>
          <w:szCs w:val="32"/>
        </w:rPr>
        <w:t>等敏感数据进行加密或未使用安全的传输协议。</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（六）“在向第三方提供用户数据时，未按法律法规要求采取安全评估、日志审计等必要的技术和管理措施”</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典型场景1：具有用户信息验证、营销活动推广等跨平台用户数据提供场景的业务，企业未在提供数据前征得用户明示同意。</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典型场景2：在向第三方提供用户数据前，未对第三方数据保护制度和技术能力情况进行安全评估；或在数据提供过程中，未开展保护能力有效性持续监督验证。</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典型场景3：在向第三方提供用户数据过程中，未定期对企业与第三方的数据共享接口进行安全审计，不掌握数据实际提供量级与类型等情况。</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lastRenderedPageBreak/>
        <w:t>四、违反资质和资源管理规定</w:t>
      </w:r>
      <w:r w:rsidR="00CC58B2">
        <w:rPr>
          <w:rFonts w:ascii="仿宋" w:eastAsia="仿宋" w:hAnsi="仿宋" w:hint="eastAsia"/>
          <w:b/>
          <w:sz w:val="32"/>
          <w:szCs w:val="32"/>
        </w:rPr>
        <w:t>方面</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（七）“违规建设经营通信传输设施等无证经营、超范围经营基础电信业务；使用无相应电信业务经营许可的主体提供的通信传输设施服务和带宽、电路等网络接入资源；违反电信业务经营许可相关规定和守法合</w:t>
      </w:r>
      <w:proofErr w:type="gramStart"/>
      <w:r w:rsidRPr="00E04249">
        <w:rPr>
          <w:rFonts w:ascii="仿宋" w:eastAsia="仿宋" w:hAnsi="仿宋" w:hint="eastAsia"/>
          <w:b/>
          <w:sz w:val="32"/>
          <w:szCs w:val="32"/>
        </w:rPr>
        <w:t>规</w:t>
      </w:r>
      <w:proofErr w:type="gramEnd"/>
      <w:r w:rsidRPr="00E04249">
        <w:rPr>
          <w:rFonts w:ascii="仿宋" w:eastAsia="仿宋" w:hAnsi="仿宋" w:hint="eastAsia"/>
          <w:b/>
          <w:sz w:val="32"/>
          <w:szCs w:val="32"/>
        </w:rPr>
        <w:t>经营承诺”</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典型场景1：未获得基础电信业务经营许可，擅自建设经营通信传输设施。</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典型场景2：未按电信业务经营许可证载明的电信业务种类，在规定业务范围内经营电信业务，超业务经营范围和地域范围经营相关电信业务。</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典型场景3：从事业务经营活动，使用未取得相应电信业务经营许可证的主体提供的网络基础设施和带宽、电路等网络接入资源。</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典型场景4：向其他从事接入服务的增值电信业务经营者转租所获得的带宽等网络接入资源。</w:t>
      </w:r>
    </w:p>
    <w:p w:rsidR="004A57F7" w:rsidRPr="00E04249" w:rsidRDefault="004A57F7" w:rsidP="00E5480F">
      <w:pPr>
        <w:ind w:firstLineChars="200" w:firstLine="643"/>
        <w:rPr>
          <w:rFonts w:ascii="仿宋" w:eastAsia="仿宋" w:hAnsi="仿宋"/>
          <w:b/>
          <w:sz w:val="32"/>
          <w:szCs w:val="32"/>
        </w:rPr>
      </w:pPr>
      <w:r w:rsidRPr="00E04249">
        <w:rPr>
          <w:rFonts w:ascii="仿宋" w:eastAsia="仿宋" w:hAnsi="仿宋" w:hint="eastAsia"/>
          <w:b/>
          <w:sz w:val="32"/>
          <w:szCs w:val="32"/>
        </w:rPr>
        <w:t>（八）“互联网协议地址、域名等资源使用方式不符合电信管理机构有关规定；未切实履行非经营性互联网信息服务备案、及时更新备案信息等要求”</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典型场景1：互联网信息服务提供者使用的互联网协议地址未按要求履行备案手续，或备案信息变更后未在规定时间内更新。</w:t>
      </w:r>
    </w:p>
    <w:p w:rsidR="004A57F7"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典型场景2：互联网信息服务提供者使用的</w:t>
      </w:r>
      <w:proofErr w:type="gramStart"/>
      <w:r w:rsidRPr="002C0A38">
        <w:rPr>
          <w:rFonts w:ascii="仿宋" w:eastAsia="仿宋" w:hAnsi="仿宋" w:hint="eastAsia"/>
          <w:sz w:val="32"/>
          <w:szCs w:val="32"/>
        </w:rPr>
        <w:t>域名未</w:t>
      </w:r>
      <w:proofErr w:type="gramEnd"/>
      <w:r w:rsidRPr="002C0A38">
        <w:rPr>
          <w:rFonts w:ascii="仿宋" w:eastAsia="仿宋" w:hAnsi="仿宋" w:hint="eastAsia"/>
          <w:sz w:val="32"/>
          <w:szCs w:val="32"/>
        </w:rPr>
        <w:t>备案，</w:t>
      </w:r>
      <w:r w:rsidRPr="002C0A38">
        <w:rPr>
          <w:rFonts w:ascii="仿宋" w:eastAsia="仿宋" w:hAnsi="仿宋" w:hint="eastAsia"/>
          <w:sz w:val="32"/>
          <w:szCs w:val="32"/>
        </w:rPr>
        <w:lastRenderedPageBreak/>
        <w:t>或履行备案手续后，域名过期未及时注销备案，擅自进行域名转让，违规变更域名注册服务机构等。</w:t>
      </w:r>
    </w:p>
    <w:p w:rsidR="006C57D6" w:rsidRPr="002C0A38" w:rsidRDefault="004A57F7" w:rsidP="00E5480F">
      <w:pPr>
        <w:ind w:firstLineChars="200" w:firstLine="640"/>
        <w:rPr>
          <w:rFonts w:ascii="仿宋" w:eastAsia="仿宋" w:hAnsi="仿宋"/>
          <w:sz w:val="32"/>
          <w:szCs w:val="32"/>
        </w:rPr>
      </w:pPr>
      <w:r w:rsidRPr="002C0A38">
        <w:rPr>
          <w:rFonts w:ascii="仿宋" w:eastAsia="仿宋" w:hAnsi="仿宋" w:hint="eastAsia"/>
          <w:sz w:val="32"/>
          <w:szCs w:val="32"/>
        </w:rPr>
        <w:t>典型场景3：未备案即从事非经营性互联网信息服务，或未及时更新备案信息。</w:t>
      </w:r>
    </w:p>
    <w:sectPr w:rsidR="006C57D6" w:rsidRPr="002C0A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8D" w:rsidRDefault="00F2068D" w:rsidP="00CF1914">
      <w:r>
        <w:separator/>
      </w:r>
    </w:p>
  </w:endnote>
  <w:endnote w:type="continuationSeparator" w:id="0">
    <w:p w:rsidR="00F2068D" w:rsidRDefault="00F2068D" w:rsidP="00CF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8D" w:rsidRDefault="00F2068D" w:rsidP="00CF1914">
      <w:r>
        <w:separator/>
      </w:r>
    </w:p>
  </w:footnote>
  <w:footnote w:type="continuationSeparator" w:id="0">
    <w:p w:rsidR="00F2068D" w:rsidRDefault="00F2068D" w:rsidP="00CF1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14E"/>
    <w:rsid w:val="00164106"/>
    <w:rsid w:val="001C514E"/>
    <w:rsid w:val="0020624A"/>
    <w:rsid w:val="00242EF1"/>
    <w:rsid w:val="002C0A38"/>
    <w:rsid w:val="002C6DBF"/>
    <w:rsid w:val="00334B54"/>
    <w:rsid w:val="003F3C91"/>
    <w:rsid w:val="00471B90"/>
    <w:rsid w:val="004A57F7"/>
    <w:rsid w:val="00527578"/>
    <w:rsid w:val="00584AD7"/>
    <w:rsid w:val="0059333F"/>
    <w:rsid w:val="006C57D6"/>
    <w:rsid w:val="00731323"/>
    <w:rsid w:val="00935FF1"/>
    <w:rsid w:val="00A4504B"/>
    <w:rsid w:val="00A70F94"/>
    <w:rsid w:val="00B343AE"/>
    <w:rsid w:val="00C15263"/>
    <w:rsid w:val="00C66599"/>
    <w:rsid w:val="00C83862"/>
    <w:rsid w:val="00CB43DB"/>
    <w:rsid w:val="00CC58B2"/>
    <w:rsid w:val="00CF1914"/>
    <w:rsid w:val="00D65BCE"/>
    <w:rsid w:val="00D74E25"/>
    <w:rsid w:val="00DB756B"/>
    <w:rsid w:val="00E04249"/>
    <w:rsid w:val="00E05A12"/>
    <w:rsid w:val="00E5480F"/>
    <w:rsid w:val="00EA5A2C"/>
    <w:rsid w:val="00F2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263"/>
    <w:rPr>
      <w:sz w:val="18"/>
      <w:szCs w:val="18"/>
    </w:rPr>
  </w:style>
  <w:style w:type="character" w:customStyle="1" w:styleId="Char">
    <w:name w:val="批注框文本 Char"/>
    <w:basedOn w:val="a0"/>
    <w:link w:val="a3"/>
    <w:uiPriority w:val="99"/>
    <w:semiHidden/>
    <w:rsid w:val="00C15263"/>
    <w:rPr>
      <w:sz w:val="18"/>
      <w:szCs w:val="18"/>
    </w:rPr>
  </w:style>
  <w:style w:type="paragraph" w:styleId="a4">
    <w:name w:val="header"/>
    <w:basedOn w:val="a"/>
    <w:link w:val="Char0"/>
    <w:uiPriority w:val="99"/>
    <w:unhideWhenUsed/>
    <w:rsid w:val="00CF19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F1914"/>
    <w:rPr>
      <w:sz w:val="18"/>
      <w:szCs w:val="18"/>
    </w:rPr>
  </w:style>
  <w:style w:type="paragraph" w:styleId="a5">
    <w:name w:val="footer"/>
    <w:basedOn w:val="a"/>
    <w:link w:val="Char1"/>
    <w:uiPriority w:val="99"/>
    <w:unhideWhenUsed/>
    <w:rsid w:val="00CF1914"/>
    <w:pPr>
      <w:tabs>
        <w:tab w:val="center" w:pos="4153"/>
        <w:tab w:val="right" w:pos="8306"/>
      </w:tabs>
      <w:snapToGrid w:val="0"/>
      <w:jc w:val="left"/>
    </w:pPr>
    <w:rPr>
      <w:sz w:val="18"/>
      <w:szCs w:val="18"/>
    </w:rPr>
  </w:style>
  <w:style w:type="character" w:customStyle="1" w:styleId="Char1">
    <w:name w:val="页脚 Char"/>
    <w:basedOn w:val="a0"/>
    <w:link w:val="a5"/>
    <w:uiPriority w:val="99"/>
    <w:rsid w:val="00CF191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15263"/>
    <w:rPr>
      <w:sz w:val="18"/>
      <w:szCs w:val="18"/>
    </w:rPr>
  </w:style>
  <w:style w:type="character" w:customStyle="1" w:styleId="Char">
    <w:name w:val="批注框文本 Char"/>
    <w:basedOn w:val="a0"/>
    <w:link w:val="a3"/>
    <w:uiPriority w:val="99"/>
    <w:semiHidden/>
    <w:rsid w:val="00C15263"/>
    <w:rPr>
      <w:sz w:val="18"/>
      <w:szCs w:val="18"/>
    </w:rPr>
  </w:style>
  <w:style w:type="paragraph" w:styleId="a4">
    <w:name w:val="header"/>
    <w:basedOn w:val="a"/>
    <w:link w:val="Char0"/>
    <w:uiPriority w:val="99"/>
    <w:unhideWhenUsed/>
    <w:rsid w:val="00CF191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F1914"/>
    <w:rPr>
      <w:sz w:val="18"/>
      <w:szCs w:val="18"/>
    </w:rPr>
  </w:style>
  <w:style w:type="paragraph" w:styleId="a5">
    <w:name w:val="footer"/>
    <w:basedOn w:val="a"/>
    <w:link w:val="Char1"/>
    <w:uiPriority w:val="99"/>
    <w:unhideWhenUsed/>
    <w:rsid w:val="00CF1914"/>
    <w:pPr>
      <w:tabs>
        <w:tab w:val="center" w:pos="4153"/>
        <w:tab w:val="right" w:pos="8306"/>
      </w:tabs>
      <w:snapToGrid w:val="0"/>
      <w:jc w:val="left"/>
    </w:pPr>
    <w:rPr>
      <w:sz w:val="18"/>
      <w:szCs w:val="18"/>
    </w:rPr>
  </w:style>
  <w:style w:type="character" w:customStyle="1" w:styleId="Char1">
    <w:name w:val="页脚 Char"/>
    <w:basedOn w:val="a0"/>
    <w:link w:val="a5"/>
    <w:uiPriority w:val="99"/>
    <w:rsid w:val="00CF19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69338">
      <w:bodyDiv w:val="1"/>
      <w:marLeft w:val="0"/>
      <w:marRight w:val="0"/>
      <w:marTop w:val="0"/>
      <w:marBottom w:val="0"/>
      <w:divBdr>
        <w:top w:val="none" w:sz="0" w:space="0" w:color="auto"/>
        <w:left w:val="none" w:sz="0" w:space="0" w:color="auto"/>
        <w:bottom w:val="none" w:sz="0" w:space="0" w:color="auto"/>
        <w:right w:val="none" w:sz="0" w:space="0" w:color="auto"/>
      </w:divBdr>
    </w:div>
    <w:div w:id="15072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ahta</dc:creator>
  <cp:keywords/>
  <dc:description/>
  <cp:lastModifiedBy>ahta</cp:lastModifiedBy>
  <cp:revision>32</cp:revision>
  <cp:lastPrinted>2021-08-30T08:52:00Z</cp:lastPrinted>
  <dcterms:created xsi:type="dcterms:W3CDTF">2021-08-30T03:35:00Z</dcterms:created>
  <dcterms:modified xsi:type="dcterms:W3CDTF">2021-08-31T02:31:00Z</dcterms:modified>
</cp:coreProperties>
</file>