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仿宋" w:eastAsia="方正小标宋_GBK" w:cs="宋体"/>
          <w:bCs/>
          <w:sz w:val="44"/>
          <w:szCs w:val="44"/>
        </w:rPr>
      </w:pPr>
      <w:r>
        <w:rPr>
          <w:rFonts w:hint="eastAsia" w:ascii="方正小标宋_GBK" w:hAnsi="仿宋" w:eastAsia="方正小标宋_GBK" w:cs="宋体"/>
          <w:bCs/>
          <w:sz w:val="44"/>
          <w:szCs w:val="44"/>
        </w:rPr>
        <w:t>安徽信息通信业关于做好算力网络</w:t>
      </w:r>
    </w:p>
    <w:p>
      <w:pPr>
        <w:spacing w:line="560" w:lineRule="exact"/>
        <w:jc w:val="center"/>
        <w:rPr>
          <w:rFonts w:ascii="方正小标宋_GBK" w:hAnsi="仿宋" w:eastAsia="方正小标宋_GBK" w:cs="宋体"/>
          <w:bCs/>
          <w:sz w:val="44"/>
          <w:szCs w:val="44"/>
        </w:rPr>
      </w:pPr>
      <w:r>
        <w:rPr>
          <w:rFonts w:hint="eastAsia" w:ascii="方正小标宋_GBK" w:hAnsi="仿宋" w:eastAsia="方正小标宋_GBK" w:cs="宋体"/>
          <w:bCs/>
          <w:sz w:val="44"/>
          <w:szCs w:val="44"/>
        </w:rPr>
        <w:t>建设发展工作的指导意见</w:t>
      </w:r>
    </w:p>
    <w:p>
      <w:pPr>
        <w:jc w:val="center"/>
        <w:rPr>
          <w:rFonts w:hint="eastAsia"/>
        </w:rPr>
      </w:pPr>
    </w:p>
    <w:p>
      <w:pPr>
        <w:jc w:val="center"/>
      </w:pPr>
    </w:p>
    <w:p>
      <w:pPr>
        <w:ind w:firstLine="640" w:firstLineChars="200"/>
        <w:rPr>
          <w:rFonts w:ascii="仿宋" w:hAnsi="仿宋" w:eastAsia="仿宋"/>
          <w:sz w:val="32"/>
          <w:szCs w:val="32"/>
        </w:rPr>
      </w:pPr>
      <w:r>
        <w:rPr>
          <w:rFonts w:hint="eastAsia" w:ascii="仿宋" w:hAnsi="仿宋" w:eastAsia="仿宋"/>
          <w:sz w:val="32"/>
          <w:szCs w:val="32"/>
        </w:rPr>
        <w:t>为深入贯彻落实我国《数字经济发展战略纲要》和习近平总书记关于长三角一体化发展重要讲话指示批示精神，进一步推进我省算力基础设施建设，构建全省信息通信行业深度融入长三角一体化发展新格局，根据国家发展和改革委员会《关于深入实施“东数西算”工程 加快构建全国一体化算力网的实施意见》、工业和信息化部《算力基础设施高质量发展行动计划》、</w:t>
      </w:r>
      <w:r>
        <w:rPr>
          <w:rFonts w:hint="eastAsia" w:ascii="仿宋" w:hAnsi="仿宋" w:eastAsia="仿宋"/>
          <w:bCs/>
          <w:sz w:val="32"/>
          <w:szCs w:val="32"/>
        </w:rPr>
        <w:t>省发改委《安徽省智能算力基础设施建设方案（2023-2025年）》、省数据资源局《安徽省数字基础设施建设发展三年行动方案（2023-2025年）》</w:t>
      </w:r>
      <w:r>
        <w:rPr>
          <w:rFonts w:hint="eastAsia" w:ascii="仿宋" w:hAnsi="仿宋" w:eastAsia="仿宋"/>
          <w:sz w:val="32"/>
          <w:szCs w:val="32"/>
        </w:rPr>
        <w:t>及《安徽省信息通信业“十四五”发展规划》等要求，现就做好全省算力网络建设发展作出如下部署:</w:t>
      </w:r>
    </w:p>
    <w:p>
      <w:pPr>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ascii="仿宋" w:hAnsi="仿宋" w:eastAsia="仿宋"/>
          <w:sz w:val="32"/>
          <w:szCs w:val="32"/>
        </w:rPr>
      </w:pPr>
      <w:r>
        <w:rPr>
          <w:rFonts w:hint="eastAsia" w:ascii="仿宋" w:hAnsi="仿宋" w:eastAsia="仿宋"/>
          <w:sz w:val="32"/>
          <w:szCs w:val="32"/>
        </w:rPr>
        <w:t>以习近平新时代中国特色社会主义思想为指导，全面贯彻党的二十大精神和</w:t>
      </w:r>
      <w:r>
        <w:rPr>
          <w:rFonts w:hint="eastAsia" w:ascii="仿宋" w:hAnsi="仿宋" w:eastAsia="仿宋"/>
          <w:sz w:val="32"/>
          <w:szCs w:val="32"/>
          <w:lang w:eastAsia="zh-CN"/>
        </w:rPr>
        <w:t>习近平</w:t>
      </w:r>
      <w:bookmarkStart w:id="0" w:name="_GoBack"/>
      <w:bookmarkEnd w:id="0"/>
      <w:r>
        <w:rPr>
          <w:rFonts w:hint="eastAsia" w:ascii="仿宋" w:hAnsi="仿宋" w:eastAsia="仿宋"/>
          <w:sz w:val="32"/>
          <w:szCs w:val="32"/>
          <w:lang w:eastAsia="zh-CN"/>
        </w:rPr>
        <w:t>总书</w:t>
      </w:r>
      <w:r>
        <w:rPr>
          <w:rFonts w:hint="eastAsia" w:ascii="仿宋" w:hAnsi="仿宋" w:eastAsia="仿宋"/>
          <w:sz w:val="32"/>
          <w:szCs w:val="32"/>
        </w:rPr>
        <w:t>记关于安徽工作的重要讲话指示精神，完整、准确、全面贯彻新发展理念，从打造具有重要影响力的“三地一区”、建设“七个强省”、更好融入“数字长三角”出发，面向我省数字经济发展的实际需求，稳步提升算力综合供给能力，着力强化运力高效承载，不断完善存力灵活保障，持续增强算力赋能成效，全面推动算力绿色安全发展，为我省经济高质量发展注入新动能。</w:t>
      </w:r>
    </w:p>
    <w:p>
      <w:pPr>
        <w:ind w:firstLine="640" w:firstLineChars="200"/>
        <w:rPr>
          <w:rFonts w:ascii="黑体" w:hAnsi="黑体" w:eastAsia="黑体"/>
          <w:sz w:val="32"/>
          <w:szCs w:val="32"/>
        </w:rPr>
      </w:pPr>
      <w:r>
        <w:rPr>
          <w:rFonts w:hint="eastAsia" w:ascii="黑体" w:hAnsi="黑体" w:eastAsia="黑体"/>
          <w:sz w:val="32"/>
          <w:szCs w:val="32"/>
        </w:rPr>
        <w:t>二、总体目标</w:t>
      </w:r>
    </w:p>
    <w:p>
      <w:pPr>
        <w:ind w:firstLine="640" w:firstLineChars="200"/>
        <w:rPr>
          <w:rFonts w:ascii="仿宋" w:hAnsi="仿宋" w:eastAsia="仿宋"/>
          <w:sz w:val="32"/>
          <w:szCs w:val="32"/>
        </w:rPr>
      </w:pPr>
      <w:r>
        <w:rPr>
          <w:rFonts w:hint="eastAsia" w:ascii="仿宋" w:hAnsi="仿宋" w:eastAsia="仿宋"/>
          <w:sz w:val="32"/>
          <w:szCs w:val="32"/>
        </w:rPr>
        <w:t>到2025年，基本形成布局合理、绿色集约、互联互通、算力规模与我省数字经济发展需求相适应的算力网络发展格局。总体布局持续优化，省内数据中心、边缘数据中心梯次布局。计算力、运载力、存储力水平不断提升，网络质量持续优化，数网、数云、云边协同发展。能效水平稳步提升，电能利用效率(PUE)逐步降低，可再生能源利用率逐步提高。</w:t>
      </w:r>
    </w:p>
    <w:p>
      <w:pPr>
        <w:ind w:firstLine="640" w:firstLineChars="200"/>
        <w:rPr>
          <w:rFonts w:ascii="楷体" w:hAnsi="楷体" w:eastAsia="楷体"/>
          <w:sz w:val="32"/>
          <w:szCs w:val="32"/>
        </w:rPr>
      </w:pPr>
      <w:r>
        <w:rPr>
          <w:rFonts w:hint="eastAsia" w:ascii="楷体" w:hAnsi="楷体" w:eastAsia="楷体"/>
          <w:sz w:val="32"/>
          <w:szCs w:val="32"/>
        </w:rPr>
        <w:t xml:space="preserve">表1  </w:t>
      </w:r>
      <w:r>
        <w:rPr>
          <w:rFonts w:hint="eastAsia" w:ascii="楷体" w:hAnsi="楷体" w:eastAsia="楷体"/>
          <w:bCs/>
          <w:sz w:val="32"/>
          <w:szCs w:val="32"/>
        </w:rPr>
        <w:t>我省</w:t>
      </w:r>
      <w:r>
        <w:rPr>
          <w:rFonts w:hint="eastAsia" w:ascii="楷体" w:hAnsi="楷体" w:eastAsia="楷体"/>
          <w:sz w:val="32"/>
          <w:szCs w:val="32"/>
        </w:rPr>
        <w:t>基础电信运营企业算力网络发展主要指标</w:t>
      </w:r>
    </w:p>
    <w:tbl>
      <w:tblPr>
        <w:tblStyle w:val="5"/>
        <w:tblW w:w="5000" w:type="pct"/>
        <w:tblInd w:w="0" w:type="dxa"/>
        <w:tblLayout w:type="autofit"/>
        <w:tblCellMar>
          <w:top w:w="0" w:type="dxa"/>
          <w:left w:w="108" w:type="dxa"/>
          <w:bottom w:w="0" w:type="dxa"/>
          <w:right w:w="108" w:type="dxa"/>
        </w:tblCellMar>
      </w:tblPr>
      <w:tblGrid>
        <w:gridCol w:w="5815"/>
        <w:gridCol w:w="1353"/>
        <w:gridCol w:w="1354"/>
      </w:tblGrid>
      <w:tr>
        <w:tblPrEx>
          <w:tblCellMar>
            <w:top w:w="0" w:type="dxa"/>
            <w:left w:w="108" w:type="dxa"/>
            <w:bottom w:w="0" w:type="dxa"/>
            <w:right w:w="108" w:type="dxa"/>
          </w:tblCellMar>
        </w:tblPrEx>
        <w:trPr>
          <w:trHeight w:val="420" w:hRule="atLeast"/>
        </w:trPr>
        <w:tc>
          <w:tcPr>
            <w:tcW w:w="341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b/>
                <w:color w:val="000000"/>
                <w:kern w:val="0"/>
                <w:sz w:val="22"/>
              </w:rPr>
            </w:pPr>
            <w:r>
              <w:rPr>
                <w:rFonts w:hint="eastAsia" w:cs="宋体" w:asciiTheme="minorEastAsia" w:hAnsiTheme="minorEastAsia"/>
                <w:b/>
                <w:color w:val="000000"/>
                <w:kern w:val="0"/>
                <w:sz w:val="22"/>
              </w:rPr>
              <w:t>指标名称</w:t>
            </w:r>
          </w:p>
        </w:tc>
        <w:tc>
          <w:tcPr>
            <w:tcW w:w="794" w:type="pct"/>
            <w:tcBorders>
              <w:top w:val="single" w:color="000000" w:sz="8" w:space="0"/>
              <w:left w:val="nil"/>
              <w:bottom w:val="single" w:color="000000" w:sz="8" w:space="0"/>
              <w:right w:val="single" w:color="000000" w:sz="8" w:space="0"/>
            </w:tcBorders>
            <w:shd w:val="clear" w:color="auto" w:fill="auto"/>
            <w:noWrap/>
            <w:vAlign w:val="center"/>
          </w:tcPr>
          <w:p>
            <w:pPr>
              <w:widowControl/>
              <w:jc w:val="left"/>
              <w:rPr>
                <w:rFonts w:cs="宋体" w:asciiTheme="minorEastAsia" w:hAnsiTheme="minorEastAsia"/>
                <w:b/>
                <w:color w:val="000000"/>
                <w:kern w:val="0"/>
                <w:sz w:val="22"/>
              </w:rPr>
            </w:pPr>
            <w:r>
              <w:rPr>
                <w:rFonts w:hint="eastAsia" w:cs="宋体" w:asciiTheme="minorEastAsia" w:hAnsiTheme="minorEastAsia"/>
                <w:b/>
                <w:color w:val="000000"/>
                <w:kern w:val="0"/>
                <w:sz w:val="22"/>
              </w:rPr>
              <w:t>2024</w:t>
            </w:r>
            <w:r>
              <w:rPr>
                <w:rFonts w:cs="宋体" w:asciiTheme="minorEastAsia" w:hAnsiTheme="minorEastAsia"/>
                <w:b/>
                <w:color w:val="000000"/>
                <w:kern w:val="0"/>
                <w:sz w:val="22"/>
              </w:rPr>
              <w:t>年底</w:t>
            </w:r>
          </w:p>
        </w:tc>
        <w:tc>
          <w:tcPr>
            <w:tcW w:w="794" w:type="pct"/>
            <w:tcBorders>
              <w:top w:val="single" w:color="000000" w:sz="8" w:space="0"/>
              <w:left w:val="nil"/>
              <w:bottom w:val="single" w:color="000000" w:sz="8" w:space="0"/>
              <w:right w:val="single" w:color="000000" w:sz="8" w:space="0"/>
            </w:tcBorders>
            <w:shd w:val="clear" w:color="auto" w:fill="auto"/>
            <w:noWrap/>
            <w:vAlign w:val="center"/>
          </w:tcPr>
          <w:p>
            <w:pPr>
              <w:widowControl/>
              <w:jc w:val="left"/>
              <w:rPr>
                <w:rFonts w:cs="宋体" w:asciiTheme="minorEastAsia" w:hAnsiTheme="minorEastAsia"/>
                <w:b/>
                <w:color w:val="000000"/>
                <w:kern w:val="0"/>
                <w:sz w:val="22"/>
              </w:rPr>
            </w:pPr>
            <w:r>
              <w:rPr>
                <w:rFonts w:hint="eastAsia" w:cs="宋体" w:asciiTheme="minorEastAsia" w:hAnsiTheme="minorEastAsia"/>
                <w:b/>
                <w:color w:val="000000"/>
                <w:kern w:val="0"/>
                <w:sz w:val="22"/>
              </w:rPr>
              <w:t>2025</w:t>
            </w:r>
            <w:r>
              <w:rPr>
                <w:rFonts w:cs="宋体" w:asciiTheme="minorEastAsia" w:hAnsiTheme="minorEastAsia"/>
                <w:b/>
                <w:color w:val="000000"/>
                <w:kern w:val="0"/>
                <w:sz w:val="22"/>
              </w:rPr>
              <w:t>年底</w:t>
            </w:r>
          </w:p>
        </w:tc>
      </w:tr>
      <w:tr>
        <w:tblPrEx>
          <w:tblCellMar>
            <w:top w:w="0" w:type="dxa"/>
            <w:left w:w="108" w:type="dxa"/>
            <w:bottom w:w="0" w:type="dxa"/>
            <w:right w:w="108" w:type="dxa"/>
          </w:tblCellMar>
        </w:tblPrEx>
        <w:trPr>
          <w:trHeight w:val="420"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◆计算力</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1）算力规模（</w:t>
            </w:r>
            <w:r>
              <w:rPr>
                <w:rFonts w:hint="eastAsia" w:cs="宋体" w:asciiTheme="minorEastAsia" w:hAnsiTheme="minorEastAsia"/>
                <w:color w:val="000000"/>
                <w:kern w:val="0"/>
                <w:sz w:val="22"/>
              </w:rPr>
              <w:t>P</w:t>
            </w:r>
            <w:r>
              <w:rPr>
                <w:rFonts w:cs="宋体" w:asciiTheme="minorEastAsia" w:hAnsiTheme="minorEastAsia"/>
                <w:color w:val="000000"/>
                <w:kern w:val="0"/>
                <w:sz w:val="22"/>
              </w:rPr>
              <w:t>FLOPS）</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cs="宋体" w:asciiTheme="minorEastAsia" w:hAnsiTheme="minorEastAsia"/>
                <w:color w:val="000000"/>
                <w:sz w:val="22"/>
              </w:rPr>
              <w:t>1200</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cs="宋体" w:asciiTheme="minorEastAsia" w:hAnsiTheme="minorEastAsia"/>
                <w:color w:val="000000"/>
                <w:sz w:val="22"/>
              </w:rPr>
              <w:t>2000</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2）智能计算中心（个）</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3</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6</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3）智能算力占比（%）</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50</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70</w:t>
            </w:r>
          </w:p>
        </w:tc>
      </w:tr>
      <w:tr>
        <w:tblPrEx>
          <w:tblCellMar>
            <w:top w:w="0" w:type="dxa"/>
            <w:left w:w="108" w:type="dxa"/>
            <w:bottom w:w="0" w:type="dxa"/>
            <w:right w:w="108" w:type="dxa"/>
          </w:tblCellMar>
        </w:tblPrEx>
        <w:trPr>
          <w:trHeight w:val="420"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◆运载力</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4）重点应用场所光传送网（OTN）覆盖率（%）</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65</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80</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5）算力灵活调度（SRv6）节点占比（%）</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30</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40</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6）算力全光调度（OXC）节点占比（%）</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50</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100</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7）城市内智算中心互联网络时延达标率（%）</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75</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80</w:t>
            </w:r>
          </w:p>
        </w:tc>
      </w:tr>
      <w:tr>
        <w:tblPrEx>
          <w:tblCellMar>
            <w:top w:w="0" w:type="dxa"/>
            <w:left w:w="108" w:type="dxa"/>
            <w:bottom w:w="0" w:type="dxa"/>
            <w:right w:w="108" w:type="dxa"/>
          </w:tblCellMar>
        </w:tblPrEx>
        <w:trPr>
          <w:trHeight w:val="420"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◆存储力</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8）存储总量（</w:t>
            </w:r>
            <w:r>
              <w:rPr>
                <w:rFonts w:hint="eastAsia" w:cs="宋体" w:asciiTheme="minorEastAsia" w:hAnsiTheme="minorEastAsia"/>
                <w:color w:val="000000"/>
                <w:kern w:val="0"/>
                <w:sz w:val="22"/>
              </w:rPr>
              <w:t>P</w:t>
            </w:r>
            <w:r>
              <w:rPr>
                <w:rFonts w:cs="宋体" w:asciiTheme="minorEastAsia" w:hAnsiTheme="minorEastAsia"/>
                <w:color w:val="000000"/>
                <w:kern w:val="0"/>
                <w:sz w:val="22"/>
              </w:rPr>
              <w:t>B）</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1000</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1800</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9）先进存储容量占比（%）</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28</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30</w:t>
            </w:r>
          </w:p>
        </w:tc>
      </w:tr>
      <w:tr>
        <w:tblPrEx>
          <w:tblCellMar>
            <w:top w:w="0" w:type="dxa"/>
            <w:left w:w="108" w:type="dxa"/>
            <w:bottom w:w="0" w:type="dxa"/>
            <w:right w:w="108" w:type="dxa"/>
          </w:tblCellMar>
        </w:tblPrEx>
        <w:trPr>
          <w:trHeight w:val="420"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◆绿色低碳</w:t>
            </w:r>
          </w:p>
        </w:tc>
      </w:tr>
      <w:tr>
        <w:tblPrEx>
          <w:tblCellMar>
            <w:top w:w="0" w:type="dxa"/>
            <w:left w:w="108" w:type="dxa"/>
            <w:bottom w:w="0" w:type="dxa"/>
            <w:right w:w="108" w:type="dxa"/>
          </w:tblCellMar>
        </w:tblPrEx>
        <w:trPr>
          <w:trHeight w:val="420"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10）新建大型及以上数据中心电能利用效率</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&lt;1.25</w:t>
            </w:r>
          </w:p>
        </w:tc>
      </w:tr>
      <w:tr>
        <w:tblPrEx>
          <w:tblCellMar>
            <w:top w:w="0" w:type="dxa"/>
            <w:left w:w="108" w:type="dxa"/>
            <w:bottom w:w="0" w:type="dxa"/>
            <w:right w:w="108" w:type="dxa"/>
          </w:tblCellMar>
        </w:tblPrEx>
        <w:trPr>
          <w:trHeight w:val="420"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◆应用普及</w:t>
            </w:r>
          </w:p>
        </w:tc>
      </w:tr>
      <w:tr>
        <w:tblPrEx>
          <w:tblCellMar>
            <w:top w:w="0" w:type="dxa"/>
            <w:left w:w="108" w:type="dxa"/>
            <w:bottom w:w="0" w:type="dxa"/>
            <w:right w:w="108" w:type="dxa"/>
          </w:tblCellMar>
        </w:tblPrEx>
        <w:trPr>
          <w:trHeight w:val="67" w:hRule="atLeast"/>
        </w:trPr>
        <w:tc>
          <w:tcPr>
            <w:tcW w:w="3412"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cs="宋体" w:asciiTheme="minorEastAsia" w:hAnsiTheme="minorEastAsia"/>
                <w:color w:val="000000"/>
                <w:kern w:val="0"/>
                <w:sz w:val="22"/>
              </w:rPr>
              <w:t>11）算力网络应用创新数（个）</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10</w:t>
            </w:r>
          </w:p>
        </w:tc>
        <w:tc>
          <w:tcPr>
            <w:tcW w:w="794" w:type="pct"/>
            <w:tcBorders>
              <w:top w:val="nil"/>
              <w:left w:val="nil"/>
              <w:bottom w:val="single" w:color="000000" w:sz="8" w:space="0"/>
              <w:right w:val="single" w:color="000000" w:sz="8" w:space="0"/>
            </w:tcBorders>
            <w:shd w:val="clear" w:color="auto" w:fill="auto"/>
            <w:noWrap/>
            <w:vAlign w:val="center"/>
          </w:tcPr>
          <w:p>
            <w:pPr>
              <w:rPr>
                <w:rFonts w:cs="宋体" w:asciiTheme="minorEastAsia" w:hAnsiTheme="minorEastAsia"/>
                <w:color w:val="000000"/>
                <w:sz w:val="22"/>
              </w:rPr>
            </w:pPr>
            <w:r>
              <w:rPr>
                <w:rFonts w:hint="eastAsia" w:asciiTheme="minorEastAsia" w:hAnsiTheme="minorEastAsia"/>
                <w:color w:val="000000"/>
                <w:sz w:val="22"/>
              </w:rPr>
              <w:t>20</w:t>
            </w:r>
          </w:p>
        </w:tc>
      </w:tr>
    </w:tbl>
    <w:p>
      <w:pPr>
        <w:ind w:firstLine="640" w:firstLineChars="200"/>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三、重点任务</w:t>
      </w:r>
    </w:p>
    <w:p>
      <w:pPr>
        <w:ind w:firstLine="640" w:firstLineChars="200"/>
        <w:rPr>
          <w:rFonts w:ascii="楷体" w:hAnsi="楷体" w:eastAsia="楷体"/>
          <w:sz w:val="32"/>
          <w:szCs w:val="32"/>
        </w:rPr>
      </w:pPr>
      <w:r>
        <w:rPr>
          <w:rFonts w:hint="eastAsia" w:ascii="楷体" w:hAnsi="楷体" w:eastAsia="楷体"/>
          <w:sz w:val="32"/>
          <w:szCs w:val="32"/>
        </w:rPr>
        <w:t>(一)完善算力综合供给体系</w:t>
      </w:r>
    </w:p>
    <w:p>
      <w:pPr>
        <w:ind w:firstLine="642" w:firstLineChars="200"/>
        <w:rPr>
          <w:rFonts w:ascii="仿宋" w:hAnsi="仿宋" w:eastAsia="仿宋"/>
          <w:sz w:val="32"/>
          <w:szCs w:val="32"/>
        </w:rPr>
      </w:pPr>
      <w:r>
        <w:rPr>
          <w:rFonts w:hint="eastAsia" w:ascii="仿宋" w:hAnsi="仿宋" w:eastAsia="仿宋"/>
          <w:b/>
          <w:sz w:val="32"/>
          <w:szCs w:val="32"/>
        </w:rPr>
        <w:t>1.推动算力资源多元配置。</w:t>
      </w:r>
      <w:r>
        <w:rPr>
          <w:rFonts w:hint="eastAsia" w:ascii="仿宋" w:hAnsi="仿宋" w:eastAsia="仿宋"/>
          <w:b/>
          <w:bCs/>
          <w:sz w:val="32"/>
          <w:szCs w:val="32"/>
        </w:rPr>
        <w:t>以各基础电信运营企业的智算网络为依托，</w:t>
      </w:r>
      <w:r>
        <w:rPr>
          <w:rFonts w:hint="eastAsia" w:ascii="仿宋" w:hAnsi="仿宋" w:eastAsia="仿宋"/>
          <w:sz w:val="32"/>
          <w:szCs w:val="32"/>
        </w:rPr>
        <w:t>推动我省算力基础设施多元发展，系统布局面向高性能计算和安全可控等场景的算力基础设施。结合我省人工智能产业发展和业务需求，</w:t>
      </w:r>
      <w:r>
        <w:rPr>
          <w:rFonts w:hint="eastAsia" w:ascii="仿宋" w:hAnsi="仿宋" w:eastAsia="仿宋"/>
          <w:bCs/>
          <w:sz w:val="32"/>
          <w:szCs w:val="32"/>
        </w:rPr>
        <w:t>按需在重点数据中心聚集区，结合边缘算力区域化部署，建立算力网络二级节点，联通我省主要智算资源。</w:t>
      </w:r>
      <w:r>
        <w:rPr>
          <w:rFonts w:hint="eastAsia" w:ascii="仿宋" w:hAnsi="仿宋" w:eastAsia="仿宋"/>
          <w:sz w:val="32"/>
          <w:szCs w:val="32"/>
        </w:rPr>
        <w:t>推动不同计算架构的智能算力与通用算力协同发展，满足均衡型、计算和存储密集型等业务算力需求。促进与长三角区域架构相近的超算系统互联互通和算力共享，积极融入长三角高性能计算矩阵。</w:t>
      </w:r>
    </w:p>
    <w:p>
      <w:pPr>
        <w:ind w:firstLine="642" w:firstLineChars="200"/>
        <w:rPr>
          <w:rFonts w:ascii="仿宋" w:hAnsi="仿宋" w:eastAsia="仿宋"/>
          <w:sz w:val="32"/>
          <w:szCs w:val="32"/>
        </w:rPr>
      </w:pPr>
      <w:r>
        <w:rPr>
          <w:rFonts w:hint="eastAsia" w:ascii="仿宋" w:hAnsi="仿宋" w:eastAsia="仿宋"/>
          <w:b/>
          <w:sz w:val="32"/>
          <w:szCs w:val="32"/>
        </w:rPr>
        <w:t>2.促进边缘算力协同部署。</w:t>
      </w:r>
      <w:r>
        <w:rPr>
          <w:rFonts w:hint="eastAsia" w:ascii="仿宋" w:hAnsi="仿宋" w:eastAsia="仿宋"/>
          <w:sz w:val="32"/>
          <w:szCs w:val="32"/>
        </w:rPr>
        <w:t>根据我省重点产业集群分布情况及产业发展区域新规划，合理规划布局边缘数据中心，推动算力资源下沉。加强边缘数据中心与云数据中心的统筹考虑和协同布局，支持部署面向行业应用需求的边缘计算节点。优化配套基础设施部署，构建边缘算力供给体系。强化与双千兆网络的协同部署，统筹考虑边缘数据中心与通信机房的建设工作，增强对极低网络时延业务需求的灵活响应能力。</w:t>
      </w:r>
    </w:p>
    <w:p>
      <w:pPr>
        <w:ind w:firstLine="642" w:firstLineChars="200"/>
        <w:rPr>
          <w:rFonts w:ascii="仿宋" w:hAnsi="仿宋" w:eastAsia="仿宋"/>
          <w:sz w:val="32"/>
          <w:szCs w:val="32"/>
        </w:rPr>
      </w:pPr>
      <w:r>
        <w:rPr>
          <w:rFonts w:hint="eastAsia" w:ascii="仿宋" w:hAnsi="仿宋" w:eastAsia="仿宋"/>
          <w:b/>
          <w:sz w:val="32"/>
          <w:szCs w:val="32"/>
        </w:rPr>
        <w:t>3.提升算力算效智能水平。</w:t>
      </w:r>
      <w:r>
        <w:rPr>
          <w:rFonts w:hint="eastAsia" w:ascii="仿宋" w:hAnsi="仿宋" w:eastAsia="仿宋"/>
          <w:sz w:val="32"/>
          <w:szCs w:val="32"/>
        </w:rPr>
        <w:t>聚焦提质增能，引导新建高算力、高算效、智能化的数据中心，积极引入国产化GPU、NPU、DPU、ASIC等异构算力，提升新增算力国产化占比。鼓励兼容和开放的算力平台部署，提升算力服务规模和自动化水平，为我省构建上层算力软件生态打牢基础。</w:t>
      </w:r>
    </w:p>
    <w:p>
      <w:pPr>
        <w:ind w:firstLine="640" w:firstLineChars="200"/>
        <w:rPr>
          <w:rFonts w:ascii="楷体" w:hAnsi="楷体" w:eastAsia="楷体"/>
          <w:sz w:val="32"/>
          <w:szCs w:val="32"/>
        </w:rPr>
      </w:pPr>
      <w:r>
        <w:rPr>
          <w:rFonts w:hint="eastAsia" w:ascii="楷体" w:hAnsi="楷体" w:eastAsia="楷体"/>
          <w:sz w:val="32"/>
          <w:szCs w:val="32"/>
        </w:rPr>
        <w:t>(二)提升算力高效运载能力</w:t>
      </w:r>
    </w:p>
    <w:p>
      <w:pPr>
        <w:ind w:firstLine="642" w:firstLineChars="200"/>
        <w:rPr>
          <w:rFonts w:ascii="仿宋" w:hAnsi="仿宋" w:eastAsia="仿宋"/>
          <w:sz w:val="32"/>
          <w:szCs w:val="32"/>
        </w:rPr>
      </w:pPr>
      <w:r>
        <w:rPr>
          <w:rFonts w:hint="eastAsia" w:ascii="仿宋" w:hAnsi="仿宋" w:eastAsia="仿宋"/>
          <w:b/>
          <w:sz w:val="32"/>
          <w:szCs w:val="32"/>
        </w:rPr>
        <w:t>4.优化算力接入网络能力。</w:t>
      </w:r>
      <w:r>
        <w:rPr>
          <w:rFonts w:hint="eastAsia" w:ascii="仿宋" w:hAnsi="仿宋" w:eastAsia="仿宋"/>
          <w:sz w:val="32"/>
          <w:szCs w:val="32"/>
        </w:rPr>
        <w:t>探索构建布局合理、泛在连接、灵活高效的算力互联网。围绕智算中心优化网络架构，合理增加网络核心节点，建设智算中心网络专线，减少网络传输时延，提高网络传输效率。逐步建成全省一跳直达的智算中心直连网络，城市内智算中心互联网内单向时延小于1毫秒，网间时延小于2毫秒，省内城市间智算中心端到端单向网络时延不高于理论时延的1.5倍。优先采用自主可控的国产化网络基础设施，持续提升国产化设备占比。</w:t>
      </w:r>
    </w:p>
    <w:p>
      <w:pPr>
        <w:ind w:firstLine="642" w:firstLineChars="200"/>
        <w:rPr>
          <w:rFonts w:ascii="仿宋" w:hAnsi="仿宋" w:eastAsia="仿宋"/>
          <w:sz w:val="32"/>
          <w:szCs w:val="32"/>
        </w:rPr>
      </w:pPr>
      <w:r>
        <w:rPr>
          <w:rFonts w:hint="eastAsia" w:ascii="仿宋" w:hAnsi="仿宋" w:eastAsia="仿宋"/>
          <w:b/>
          <w:sz w:val="32"/>
          <w:szCs w:val="32"/>
        </w:rPr>
        <w:t>5.探索建设算力网络调度体系。</w:t>
      </w:r>
      <w:r>
        <w:rPr>
          <w:rFonts w:hint="eastAsia" w:ascii="仿宋" w:hAnsi="仿宋" w:eastAsia="仿宋"/>
          <w:sz w:val="32"/>
          <w:szCs w:val="32"/>
        </w:rPr>
        <w:t>支持算力资源的并网协同，推进各基础电信运营企业间算力资源的统一调度，推动数据中心运营商网络全接入能力建设，探索建设统一的算力调度平台。推动超低损光纤部署，优化光缆路由。加快400G/800G高速光传输网络研发部署和OXC、SRv6、网络切片、灵活以太网、光业务单元等技术应用，实现网络传输智能高效、灵活敏捷、按需随选。</w:t>
      </w:r>
    </w:p>
    <w:p>
      <w:pPr>
        <w:ind w:firstLine="642" w:firstLineChars="200"/>
        <w:rPr>
          <w:rFonts w:ascii="仿宋" w:hAnsi="仿宋" w:eastAsia="仿宋"/>
          <w:sz w:val="32"/>
          <w:szCs w:val="32"/>
        </w:rPr>
      </w:pPr>
      <w:r>
        <w:rPr>
          <w:rFonts w:hint="eastAsia" w:ascii="仿宋" w:hAnsi="仿宋" w:eastAsia="仿宋"/>
          <w:b/>
          <w:sz w:val="32"/>
          <w:szCs w:val="32"/>
        </w:rPr>
        <w:t>6.提升云边端协同水平。</w:t>
      </w:r>
      <w:r>
        <w:rPr>
          <w:rFonts w:hint="eastAsia" w:ascii="仿宋" w:hAnsi="仿宋" w:eastAsia="仿宋"/>
          <w:sz w:val="32"/>
          <w:szCs w:val="32"/>
        </w:rPr>
        <w:t>依托各基础电信运营企业推动边缘数据中心之间、边缘数据中心与新型数据中心之间的网络互联交换，形成省域内分布式云计算能力，促进云计算、边缘计算协同发展。推进OTN光接入终端在政务、工业、制造、教育、交通、医疗、金融、汽车、科研院所等重点领域楼宇和园区场所的广泛覆盖和部署，打造1ms时延城市算力网，5ms时延省域算力网，长三角区域算力网络时延控制在10ms内，稳步提升省内算力网络通达率。</w:t>
      </w:r>
    </w:p>
    <w:p>
      <w:pPr>
        <w:ind w:firstLine="640" w:firstLineChars="200"/>
        <w:rPr>
          <w:rFonts w:ascii="楷体" w:hAnsi="楷体" w:eastAsia="楷体"/>
          <w:sz w:val="32"/>
          <w:szCs w:val="32"/>
        </w:rPr>
      </w:pPr>
      <w:r>
        <w:rPr>
          <w:rFonts w:hint="eastAsia" w:ascii="楷体" w:hAnsi="楷体" w:eastAsia="楷体"/>
          <w:sz w:val="32"/>
          <w:szCs w:val="32"/>
        </w:rPr>
        <w:t>(三)强化存力高效灵活保障</w:t>
      </w:r>
    </w:p>
    <w:p>
      <w:pPr>
        <w:ind w:firstLine="642" w:firstLineChars="200"/>
        <w:rPr>
          <w:rFonts w:ascii="仿宋" w:hAnsi="仿宋" w:eastAsia="仿宋"/>
          <w:sz w:val="32"/>
          <w:szCs w:val="32"/>
        </w:rPr>
      </w:pPr>
      <w:r>
        <w:rPr>
          <w:rFonts w:hint="eastAsia" w:ascii="仿宋" w:hAnsi="仿宋" w:eastAsia="仿宋"/>
          <w:b/>
          <w:bCs/>
          <w:sz w:val="32"/>
          <w:szCs w:val="32"/>
        </w:rPr>
        <w:t>7.构建基于先进存储的存力基础设施。</w:t>
      </w:r>
      <w:r>
        <w:rPr>
          <w:rFonts w:hint="eastAsia" w:ascii="仿宋" w:hAnsi="仿宋" w:eastAsia="仿宋"/>
          <w:bCs/>
          <w:sz w:val="32"/>
          <w:szCs w:val="32"/>
        </w:rPr>
        <w:t>围绕全闪存、蓝光存储、硬件高密、数据缩减、芯片卸载、多协议数据互通等技术，推动先进存储创新发展，鼓励先进存储技术的部署应用</w:t>
      </w:r>
      <w:r>
        <w:rPr>
          <w:rFonts w:hint="eastAsia" w:ascii="仿宋" w:hAnsi="仿宋" w:eastAsia="仿宋"/>
          <w:sz w:val="32"/>
          <w:szCs w:val="32"/>
        </w:rPr>
        <w:t>，实现存储和服务器的闪存化升级，</w:t>
      </w:r>
      <w:r>
        <w:rPr>
          <w:rFonts w:hint="eastAsia" w:ascii="仿宋" w:hAnsi="仿宋" w:eastAsia="仿宋"/>
          <w:bCs/>
          <w:sz w:val="32"/>
          <w:szCs w:val="32"/>
        </w:rPr>
        <w:t>推动计算与存储融合设计，促进存储与网络和计算协同发展，合理配置存算比例，构建以“先进介质、高效架构、兼容生态、安全可信”为核心的数据存力基础设施。</w:t>
      </w:r>
    </w:p>
    <w:p>
      <w:pPr>
        <w:ind w:firstLine="642" w:firstLineChars="200"/>
        <w:rPr>
          <w:rFonts w:ascii="仿宋" w:hAnsi="仿宋" w:eastAsia="仿宋"/>
          <w:bCs/>
          <w:sz w:val="32"/>
          <w:szCs w:val="32"/>
        </w:rPr>
      </w:pPr>
      <w:r>
        <w:rPr>
          <w:rFonts w:hint="eastAsia" w:ascii="仿宋" w:hAnsi="仿宋" w:eastAsia="仿宋"/>
          <w:b/>
          <w:bCs/>
          <w:sz w:val="32"/>
          <w:szCs w:val="32"/>
        </w:rPr>
        <w:t>8.加快数据中心灾备和双活存储部署。</w:t>
      </w:r>
      <w:r>
        <w:rPr>
          <w:rFonts w:hint="eastAsia" w:ascii="仿宋" w:hAnsi="仿宋" w:eastAsia="仿宋"/>
          <w:sz w:val="32"/>
          <w:szCs w:val="32"/>
        </w:rPr>
        <w:t>完善数据分类分级安全管理制度，</w:t>
      </w:r>
      <w:r>
        <w:rPr>
          <w:rFonts w:hint="eastAsia" w:ascii="仿宋" w:hAnsi="仿宋" w:eastAsia="仿宋"/>
          <w:bCs/>
          <w:sz w:val="32"/>
          <w:szCs w:val="32"/>
        </w:rPr>
        <w:t>提升存储介质、容灾备份、加密存储、数据防护等关键技术，</w:t>
      </w:r>
      <w:r>
        <w:rPr>
          <w:rFonts w:hint="eastAsia" w:ascii="仿宋" w:hAnsi="仿宋" w:eastAsia="仿宋"/>
          <w:sz w:val="32"/>
          <w:szCs w:val="32"/>
        </w:rPr>
        <w:t>加强基础电信运营企业所属数据中心核心数据和重要数据的容灾备份建设，实现数据中心核心数据100%容灾备份。</w:t>
      </w:r>
      <w:r>
        <w:rPr>
          <w:rFonts w:hint="eastAsia" w:ascii="仿宋" w:hAnsi="仿宋" w:eastAsia="仿宋"/>
          <w:bCs/>
          <w:sz w:val="32"/>
          <w:szCs w:val="32"/>
        </w:rPr>
        <w:t>加速开展存储资源与智能计算多云容器平台的相互兼容与高效对接，推动两侧软硬件相互促进、协同发展。探索存储和算力资源跨节点分布的“存算分离”新模式。</w:t>
      </w:r>
    </w:p>
    <w:p>
      <w:pPr>
        <w:ind w:firstLine="640" w:firstLineChars="200"/>
        <w:rPr>
          <w:rFonts w:ascii="楷体" w:hAnsi="楷体" w:eastAsia="楷体"/>
          <w:sz w:val="32"/>
          <w:szCs w:val="32"/>
        </w:rPr>
      </w:pPr>
      <w:r>
        <w:rPr>
          <w:rFonts w:hint="eastAsia" w:ascii="楷体" w:hAnsi="楷体" w:eastAsia="楷体"/>
          <w:sz w:val="32"/>
          <w:szCs w:val="32"/>
        </w:rPr>
        <w:t>(四)深化算力赋能行业应用</w:t>
      </w:r>
    </w:p>
    <w:p>
      <w:pPr>
        <w:ind w:firstLine="642" w:firstLineChars="200"/>
        <w:rPr>
          <w:rFonts w:ascii="仿宋" w:hAnsi="仿宋" w:eastAsia="仿宋"/>
          <w:sz w:val="32"/>
          <w:szCs w:val="32"/>
        </w:rPr>
      </w:pPr>
      <w:r>
        <w:rPr>
          <w:rFonts w:hint="eastAsia" w:ascii="仿宋" w:hAnsi="仿宋" w:eastAsia="仿宋"/>
          <w:b/>
          <w:bCs/>
          <w:sz w:val="32"/>
          <w:szCs w:val="32"/>
        </w:rPr>
        <w:t>9.赋能经济数字化转型。</w:t>
      </w:r>
      <w:r>
        <w:rPr>
          <w:rFonts w:hint="eastAsia" w:ascii="仿宋" w:hAnsi="仿宋" w:eastAsia="仿宋"/>
          <w:sz w:val="32"/>
          <w:szCs w:val="32"/>
        </w:rPr>
        <w:t>推动算力网络资源与人工智能、大数据、区块链等新一代信息技术产业需求相匹配，鼓励各基础电信运营企业加大对我省中小企业上云的支持力度，鼓励围绕工业、教育、金融、交通、医疗、能源等重点行业需求，建设专用行业云及融合赋能应用平台，支撑行业数据融合应用。</w:t>
      </w:r>
    </w:p>
    <w:p>
      <w:pPr>
        <w:ind w:firstLine="642" w:firstLineChars="200"/>
        <w:rPr>
          <w:rFonts w:ascii="仿宋" w:hAnsi="仿宋" w:eastAsia="仿宋"/>
          <w:sz w:val="32"/>
          <w:szCs w:val="32"/>
        </w:rPr>
      </w:pPr>
      <w:r>
        <w:rPr>
          <w:rFonts w:hint="eastAsia" w:ascii="仿宋" w:hAnsi="仿宋" w:eastAsia="仿宋"/>
          <w:b/>
          <w:bCs/>
          <w:sz w:val="32"/>
          <w:szCs w:val="32"/>
        </w:rPr>
        <w:t>10.提升公共算力服务水平</w:t>
      </w:r>
      <w:r>
        <w:rPr>
          <w:rFonts w:hint="eastAsia" w:ascii="仿宋" w:hAnsi="仿宋" w:eastAsia="仿宋"/>
          <w:sz w:val="32"/>
          <w:szCs w:val="32"/>
        </w:rPr>
        <w:t>。推动算力基础设施优先满足城市治理、民生服务、基础和交叉学科研究等公共算力需求，鼓励各基础电信运营企业从实际算力需求出发建设公共算力服务平台，优化公共算力服务能力，鼓励推出算力共享、算力错峰等新业务模式，进一步降低公共算力成本，实现普惠包容算力。</w:t>
      </w:r>
    </w:p>
    <w:p>
      <w:pPr>
        <w:ind w:firstLine="640" w:firstLineChars="200"/>
        <w:rPr>
          <w:rFonts w:ascii="楷体" w:hAnsi="楷体" w:eastAsia="楷体"/>
          <w:sz w:val="32"/>
          <w:szCs w:val="32"/>
        </w:rPr>
      </w:pPr>
      <w:r>
        <w:rPr>
          <w:rFonts w:hint="eastAsia" w:ascii="楷体" w:hAnsi="楷体" w:eastAsia="楷体"/>
          <w:sz w:val="32"/>
          <w:szCs w:val="32"/>
        </w:rPr>
        <w:t>(五)促进绿色低碳算力网络发展</w:t>
      </w:r>
    </w:p>
    <w:p>
      <w:pPr>
        <w:ind w:firstLine="642" w:firstLineChars="200"/>
        <w:rPr>
          <w:rFonts w:ascii="仿宋" w:hAnsi="仿宋" w:eastAsia="仿宋"/>
          <w:sz w:val="32"/>
          <w:szCs w:val="32"/>
        </w:rPr>
      </w:pPr>
      <w:r>
        <w:rPr>
          <w:rFonts w:hint="eastAsia" w:ascii="仿宋" w:hAnsi="仿宋" w:eastAsia="仿宋"/>
          <w:b/>
          <w:bCs/>
          <w:sz w:val="32"/>
          <w:szCs w:val="32"/>
        </w:rPr>
        <w:t>11.提升算力能效碳效水平。</w:t>
      </w:r>
      <w:r>
        <w:rPr>
          <w:rFonts w:hint="eastAsia" w:ascii="仿宋" w:hAnsi="仿宋" w:eastAsia="仿宋"/>
          <w:sz w:val="32"/>
          <w:szCs w:val="32"/>
        </w:rPr>
        <w:t>对算力基础设施强化绿色设计，优化设备配套。新建大型及以上数据中心绿色低碳等级应达到4A级以上，推动数据中心采用液冷、储能、高压直流、智能运维等新技术实现数据中心降本增效、智能管控。探索算电融合发展模式，逐步提升可再生能源利用率，有效降低数据中心用电成本。在小型或边缘数据中心中开展太阳能板房的试点应用，更好提高能源效率。优化算力基础设施电能利用效率（PUE）、水资源利用效率（WUE）、碳利用效率（CUE）等。</w:t>
      </w:r>
    </w:p>
    <w:p>
      <w:pPr>
        <w:ind w:firstLine="642" w:firstLineChars="200"/>
        <w:rPr>
          <w:rFonts w:ascii="仿宋" w:hAnsi="仿宋" w:eastAsia="仿宋"/>
          <w:sz w:val="32"/>
          <w:szCs w:val="32"/>
        </w:rPr>
      </w:pPr>
      <w:r>
        <w:rPr>
          <w:rFonts w:hint="eastAsia" w:ascii="仿宋" w:hAnsi="仿宋" w:eastAsia="仿宋"/>
          <w:b/>
          <w:bCs/>
          <w:sz w:val="32"/>
          <w:szCs w:val="32"/>
        </w:rPr>
        <w:t>12.加快自有数据中心改造升级。</w:t>
      </w:r>
      <w:r>
        <w:rPr>
          <w:rFonts w:hint="eastAsia" w:ascii="仿宋" w:hAnsi="仿宋" w:eastAsia="仿宋"/>
          <w:sz w:val="32"/>
          <w:szCs w:val="32"/>
        </w:rPr>
        <w:t>推动各基础电信运营企业开展存量数据中心优化行动，建立“小散老旧”数据中心清单，推动年均PUE高于1.5的传统数据中心的转型升级，鼓励中小型低效数据中心改造为高效边缘数据中心，降低数据中心PUE平均值提高能源利用效率和算力供给能力，实现数据中心向集约化绿色化的可持续发展模式转变。</w:t>
      </w:r>
    </w:p>
    <w:p>
      <w:pPr>
        <w:ind w:firstLine="640" w:firstLineChars="200"/>
        <w:rPr>
          <w:rFonts w:ascii="楷体" w:hAnsi="楷体" w:eastAsia="楷体"/>
          <w:sz w:val="32"/>
          <w:szCs w:val="32"/>
        </w:rPr>
      </w:pPr>
      <w:r>
        <w:rPr>
          <w:rFonts w:hint="eastAsia" w:ascii="楷体" w:hAnsi="楷体" w:eastAsia="楷体"/>
          <w:sz w:val="32"/>
          <w:szCs w:val="32"/>
        </w:rPr>
        <w:t>(六)加强安全保障能力建设</w:t>
      </w:r>
    </w:p>
    <w:p>
      <w:pPr>
        <w:ind w:firstLine="642" w:firstLineChars="200"/>
        <w:rPr>
          <w:rFonts w:ascii="仿宋" w:hAnsi="仿宋" w:eastAsia="仿宋"/>
          <w:sz w:val="32"/>
          <w:szCs w:val="32"/>
        </w:rPr>
      </w:pPr>
      <w:r>
        <w:rPr>
          <w:rFonts w:hint="eastAsia" w:ascii="仿宋" w:hAnsi="仿宋" w:eastAsia="仿宋"/>
          <w:b/>
          <w:bCs/>
          <w:sz w:val="32"/>
          <w:szCs w:val="32"/>
        </w:rPr>
        <w:t>13.全面加强网络安全保障水平。</w:t>
      </w:r>
      <w:r>
        <w:rPr>
          <w:rFonts w:hint="eastAsia" w:ascii="仿宋" w:hAnsi="仿宋" w:eastAsia="仿宋"/>
          <w:sz w:val="32"/>
          <w:szCs w:val="32"/>
        </w:rPr>
        <w:t>各基础电信运营企业应严格落实网络安全法律法规要求，加强算力网络数据安全顶层设计，实现所属数据中心、基础网络、云平台等的统筹防护。构建完善的网络安全体系，加强算力、网络和安全系统间的协同防御，加强网络设备供应链和接入资源安全管理，开展网络安全攻防演练、灾难恢复演练，利用人工智能技术提升安全技术防护与应急处置能力。</w:t>
      </w:r>
    </w:p>
    <w:p>
      <w:pPr>
        <w:ind w:firstLine="642" w:firstLineChars="200"/>
        <w:rPr>
          <w:rFonts w:ascii="仿宋" w:hAnsi="仿宋" w:eastAsia="仿宋"/>
          <w:sz w:val="32"/>
          <w:szCs w:val="32"/>
        </w:rPr>
      </w:pPr>
      <w:r>
        <w:rPr>
          <w:rFonts w:hint="eastAsia" w:ascii="仿宋" w:hAnsi="仿宋" w:eastAsia="仿宋"/>
          <w:b/>
          <w:bCs/>
          <w:sz w:val="32"/>
          <w:szCs w:val="32"/>
        </w:rPr>
        <w:t>14.加快提升数据安全防护能力。</w:t>
      </w:r>
      <w:r>
        <w:rPr>
          <w:rFonts w:hint="eastAsia" w:ascii="仿宋" w:hAnsi="仿宋" w:eastAsia="仿宋"/>
          <w:sz w:val="32"/>
          <w:szCs w:val="32"/>
        </w:rPr>
        <w:t>各基础电信运营企业应落实数据安全责任要求，强化数据全生命周期安全管理机制，提升数据安全的检测与防护能力。指导数据中心开展数据安全体系建设，加强安全评估，建立数据分类分级管理制度，理清各方权责边界，制定核心数据、重要数据具体目录。</w:t>
      </w:r>
    </w:p>
    <w:p>
      <w:pPr>
        <w:ind w:firstLine="642" w:firstLineChars="200"/>
        <w:rPr>
          <w:rFonts w:ascii="仿宋" w:hAnsi="仿宋" w:eastAsia="仿宋"/>
          <w:sz w:val="32"/>
          <w:szCs w:val="32"/>
        </w:rPr>
      </w:pPr>
      <w:r>
        <w:rPr>
          <w:rFonts w:hint="eastAsia" w:ascii="仿宋" w:hAnsi="仿宋" w:eastAsia="仿宋"/>
          <w:b/>
          <w:bCs/>
          <w:sz w:val="32"/>
          <w:szCs w:val="32"/>
        </w:rPr>
        <w:t>15.提高安全生产管理水平。</w:t>
      </w:r>
      <w:r>
        <w:rPr>
          <w:rFonts w:hint="eastAsia" w:ascii="仿宋" w:hAnsi="仿宋" w:eastAsia="仿宋"/>
          <w:sz w:val="32"/>
          <w:szCs w:val="32"/>
        </w:rPr>
        <w:t>落实安全生产企业主体责任，新建数据中心应严格按照标准建设，完善风险防范措施，加强对线路、设备、动力系统、消防系统等重要部位的安全隐患排查，严防安全生产事故。</w:t>
      </w:r>
    </w:p>
    <w:p>
      <w:pPr>
        <w:ind w:firstLine="640" w:firstLineChars="200"/>
        <w:rPr>
          <w:rFonts w:ascii="楷体" w:hAnsi="楷体" w:eastAsia="楷体"/>
          <w:sz w:val="32"/>
          <w:szCs w:val="32"/>
        </w:rPr>
      </w:pPr>
      <w:r>
        <w:rPr>
          <w:rFonts w:hint="eastAsia" w:ascii="楷体" w:hAnsi="楷体" w:eastAsia="楷体"/>
          <w:sz w:val="32"/>
          <w:szCs w:val="32"/>
        </w:rPr>
        <w:t>(七)融入长三角算力一体化网络</w:t>
      </w:r>
    </w:p>
    <w:p>
      <w:pPr>
        <w:ind w:firstLine="642" w:firstLineChars="200"/>
        <w:rPr>
          <w:rFonts w:ascii="仿宋" w:hAnsi="仿宋" w:eastAsia="仿宋"/>
          <w:sz w:val="32"/>
          <w:szCs w:val="32"/>
        </w:rPr>
      </w:pPr>
      <w:r>
        <w:rPr>
          <w:rFonts w:hint="eastAsia" w:ascii="仿宋" w:hAnsi="仿宋" w:eastAsia="仿宋"/>
          <w:b/>
          <w:sz w:val="32"/>
          <w:szCs w:val="32"/>
        </w:rPr>
        <w:t>16.优化算力设施建设布局。</w:t>
      </w:r>
      <w:r>
        <w:rPr>
          <w:rFonts w:hint="eastAsia" w:ascii="仿宋" w:hAnsi="仿宋" w:eastAsia="仿宋"/>
          <w:sz w:val="32"/>
          <w:szCs w:val="32"/>
        </w:rPr>
        <w:t>智能算力建设按照“2+16+X”布局，即以芜湖、合肥为中心算力层，16地市及其他边缘节点为边缘算力层。统筹推进芜湖智算集群建设，推进国家算力网络中国电信芜湖大数据中心项目、中国联通长三角（芜湖）智算中心、中国移动长三角（芜湖）数据中心等重点项目落地。与长三角生态绿色一体化发展示范区数据中心集群共同构建“一体协同，辐射全域”发展格局。加快算力基础设施登记、监测、匹配系统的部署和接入，向政府、企业和社会公众提供安全、可靠、优质的“双千兆+云计算”网络能力，打造优质算力资源供给体系，提升长三角算力共建共享水平。</w:t>
      </w:r>
    </w:p>
    <w:p>
      <w:pPr>
        <w:ind w:firstLine="642" w:firstLineChars="200"/>
        <w:rPr>
          <w:rFonts w:ascii="仿宋" w:hAnsi="仿宋" w:eastAsia="仿宋"/>
          <w:sz w:val="32"/>
          <w:szCs w:val="32"/>
        </w:rPr>
      </w:pPr>
      <w:r>
        <w:rPr>
          <w:rFonts w:hint="eastAsia" w:ascii="仿宋" w:hAnsi="仿宋" w:eastAsia="仿宋"/>
          <w:b/>
          <w:sz w:val="32"/>
          <w:szCs w:val="32"/>
        </w:rPr>
        <w:t>17.提升算力网络互联互通能力。</w:t>
      </w:r>
      <w:r>
        <w:rPr>
          <w:rFonts w:hint="eastAsia" w:ascii="仿宋" w:hAnsi="仿宋" w:eastAsia="仿宋"/>
          <w:sz w:val="32"/>
          <w:szCs w:val="32"/>
        </w:rPr>
        <w:t>保障合肥国家级互联网骨干直联点安全稳定运行，按需进行扩容升级改造，满足我省与长三角其他省市之间的网间流量疏导需求。推进长三角枢纽节点芜湖数据中心集群建设，支持芜湖国家级互联网骨干直联点申报建设，优化国际互联网通信服务能力和环境，加大宣传力度，积极引导芜湖等地区申请建设国际互联网专用通道。</w:t>
      </w:r>
    </w:p>
    <w:p>
      <w:pPr>
        <w:ind w:firstLine="642" w:firstLineChars="200"/>
        <w:rPr>
          <w:rFonts w:ascii="仿宋" w:hAnsi="仿宋" w:eastAsia="仿宋"/>
          <w:sz w:val="32"/>
          <w:szCs w:val="32"/>
        </w:rPr>
      </w:pPr>
      <w:r>
        <w:rPr>
          <w:rFonts w:hint="eastAsia" w:ascii="仿宋" w:hAnsi="仿宋" w:eastAsia="仿宋"/>
          <w:b/>
          <w:sz w:val="32"/>
          <w:szCs w:val="32"/>
        </w:rPr>
        <w:t>18. 推动工业互联网创新发展。</w:t>
      </w:r>
      <w:r>
        <w:rPr>
          <w:rFonts w:hint="eastAsia" w:ascii="仿宋" w:hAnsi="仿宋" w:eastAsia="仿宋"/>
          <w:sz w:val="32"/>
          <w:szCs w:val="32"/>
        </w:rPr>
        <w:t>依托长三角工业互联网标识解析一体化建设专班机制，共同推进长三角地区工业互联网标识解析“贯通”计划实施，推动标识解析规模化发展与结构升级，支持有条件的企业</w:t>
      </w:r>
      <w:r>
        <w:rPr>
          <w:rFonts w:hint="eastAsia" w:ascii="仿宋" w:hAnsi="仿宋" w:eastAsia="仿宋"/>
          <w:bCs/>
          <w:sz w:val="32"/>
          <w:szCs w:val="32"/>
        </w:rPr>
        <w:t>建设更多的</w:t>
      </w:r>
      <w:r>
        <w:rPr>
          <w:rFonts w:hint="eastAsia" w:ascii="仿宋" w:hAnsi="仿宋" w:eastAsia="仿宋"/>
          <w:sz w:val="32"/>
          <w:szCs w:val="32"/>
        </w:rPr>
        <w:t>工业互联网标识解析二级节点。</w:t>
      </w:r>
    </w:p>
    <w:p>
      <w:pPr>
        <w:ind w:firstLine="640" w:firstLineChars="200"/>
        <w:rPr>
          <w:rFonts w:ascii="黑体" w:hAnsi="黑体" w:eastAsia="黑体"/>
          <w:sz w:val="32"/>
          <w:szCs w:val="32"/>
        </w:rPr>
      </w:pPr>
      <w:r>
        <w:rPr>
          <w:rFonts w:hint="eastAsia" w:ascii="黑体" w:hAnsi="黑体" w:eastAsia="黑体"/>
          <w:sz w:val="32"/>
          <w:szCs w:val="32"/>
        </w:rPr>
        <w:t>四、保障措施</w:t>
      </w:r>
    </w:p>
    <w:p>
      <w:pPr>
        <w:ind w:firstLine="640" w:firstLineChars="200"/>
        <w:rPr>
          <w:rFonts w:ascii="楷体" w:hAnsi="楷体" w:eastAsia="楷体"/>
          <w:sz w:val="32"/>
          <w:szCs w:val="32"/>
        </w:rPr>
      </w:pPr>
      <w:r>
        <w:rPr>
          <w:rFonts w:hint="eastAsia" w:ascii="楷体" w:hAnsi="楷体" w:eastAsia="楷体"/>
          <w:sz w:val="32"/>
          <w:szCs w:val="32"/>
        </w:rPr>
        <w:t>(一)加强组织保障</w:t>
      </w:r>
    </w:p>
    <w:p>
      <w:pPr>
        <w:ind w:firstLine="640" w:firstLineChars="200"/>
        <w:rPr>
          <w:rFonts w:ascii="仿宋" w:hAnsi="仿宋" w:eastAsia="仿宋"/>
          <w:sz w:val="32"/>
          <w:szCs w:val="32"/>
        </w:rPr>
      </w:pPr>
      <w:r>
        <w:rPr>
          <w:rFonts w:hint="eastAsia" w:ascii="仿宋" w:hAnsi="仿宋" w:eastAsia="仿宋"/>
          <w:sz w:val="32"/>
          <w:szCs w:val="32"/>
        </w:rPr>
        <w:t>各基础电信运营企业要进一步加强组织领导，建立健全工作组织架构，整合企业各部门资源，形成工作合力。要整体规划算力基础设施发展的重点方向和年度工作要点，科学制定年度实施方案，细化工作任务和责任分工，确保工作实效，</w:t>
      </w:r>
    </w:p>
    <w:p>
      <w:pPr>
        <w:ind w:firstLine="640" w:firstLineChars="200"/>
        <w:rPr>
          <w:rFonts w:ascii="楷体" w:hAnsi="楷体" w:eastAsia="楷体"/>
          <w:sz w:val="32"/>
          <w:szCs w:val="32"/>
        </w:rPr>
      </w:pPr>
      <w:r>
        <w:rPr>
          <w:rFonts w:hint="eastAsia" w:ascii="楷体" w:hAnsi="楷体" w:eastAsia="楷体"/>
          <w:sz w:val="32"/>
          <w:szCs w:val="32"/>
        </w:rPr>
        <w:t>(二)</w:t>
      </w:r>
      <w:r>
        <w:rPr>
          <w:rFonts w:hint="eastAsia" w:ascii="楷体" w:hAnsi="楷体" w:eastAsia="楷体"/>
          <w:bCs/>
          <w:sz w:val="32"/>
          <w:szCs w:val="32"/>
        </w:rPr>
        <w:t>突出</w:t>
      </w:r>
      <w:r>
        <w:rPr>
          <w:rFonts w:hint="eastAsia" w:ascii="楷体" w:hAnsi="楷体" w:eastAsia="楷体"/>
          <w:sz w:val="32"/>
          <w:szCs w:val="32"/>
        </w:rPr>
        <w:t>工作协同</w:t>
      </w:r>
    </w:p>
    <w:p>
      <w:pPr>
        <w:ind w:firstLine="640" w:firstLineChars="200"/>
        <w:rPr>
          <w:rFonts w:ascii="仿宋" w:hAnsi="仿宋" w:eastAsia="仿宋"/>
          <w:sz w:val="32"/>
          <w:szCs w:val="32"/>
        </w:rPr>
      </w:pPr>
      <w:r>
        <w:rPr>
          <w:rFonts w:hint="eastAsia" w:ascii="仿宋" w:hAnsi="仿宋" w:eastAsia="仿宋"/>
          <w:sz w:val="32"/>
          <w:szCs w:val="32"/>
        </w:rPr>
        <w:t>算力网络基础设施建设发展工作涵盖面广，涉及多个政府部门及相关企业，需各方密切工作协同、形成工作合力。省通信管理局将配合省有关部门加强统筹指导，及时协调</w:t>
      </w:r>
      <w:r>
        <w:rPr>
          <w:rFonts w:hint="eastAsia" w:ascii="仿宋" w:hAnsi="仿宋" w:eastAsia="仿宋"/>
          <w:bCs/>
          <w:sz w:val="32"/>
          <w:szCs w:val="32"/>
        </w:rPr>
        <w:t>解决</w:t>
      </w:r>
      <w:r>
        <w:rPr>
          <w:rFonts w:hint="eastAsia" w:ascii="仿宋" w:hAnsi="仿宋" w:eastAsia="仿宋"/>
          <w:sz w:val="32"/>
          <w:szCs w:val="32"/>
        </w:rPr>
        <w:t>各类困难问题。各基础电信运营企业要进一步加大工作力度，指定专人负责，压实主体责任，确保工作实效。</w:t>
      </w:r>
    </w:p>
    <w:p>
      <w:pPr>
        <w:ind w:firstLine="640" w:firstLineChars="200"/>
        <w:rPr>
          <w:rFonts w:ascii="楷体" w:hAnsi="楷体" w:eastAsia="楷体"/>
          <w:sz w:val="32"/>
          <w:szCs w:val="32"/>
        </w:rPr>
      </w:pPr>
      <w:r>
        <w:rPr>
          <w:rFonts w:hint="eastAsia" w:ascii="楷体" w:hAnsi="楷体" w:eastAsia="楷体"/>
          <w:sz w:val="32"/>
          <w:szCs w:val="32"/>
        </w:rPr>
        <w:t>(三)完善</w:t>
      </w:r>
      <w:r>
        <w:rPr>
          <w:rFonts w:hint="eastAsia" w:ascii="楷体" w:hAnsi="楷体" w:eastAsia="楷体"/>
          <w:bCs/>
          <w:sz w:val="32"/>
          <w:szCs w:val="32"/>
        </w:rPr>
        <w:t>管理</w:t>
      </w:r>
      <w:r>
        <w:rPr>
          <w:rFonts w:hint="eastAsia" w:ascii="楷体" w:hAnsi="楷体" w:eastAsia="楷体"/>
          <w:sz w:val="32"/>
          <w:szCs w:val="32"/>
        </w:rPr>
        <w:t>机制</w:t>
      </w:r>
    </w:p>
    <w:p>
      <w:pPr>
        <w:ind w:firstLine="640" w:firstLineChars="200"/>
        <w:rPr>
          <w:rFonts w:ascii="仿宋" w:hAnsi="仿宋" w:eastAsia="仿宋"/>
          <w:sz w:val="32"/>
          <w:szCs w:val="32"/>
        </w:rPr>
      </w:pPr>
      <w:r>
        <w:rPr>
          <w:rFonts w:hint="eastAsia" w:ascii="仿宋" w:hAnsi="仿宋" w:eastAsia="仿宋"/>
          <w:sz w:val="32"/>
          <w:szCs w:val="32"/>
        </w:rPr>
        <w:t>将数据中心建设纳入通信工程质量监督管理流程，各基础电信运营企业要将“小散老旧”数据中心清单及转型升级计划、新建大型及以上（</w:t>
      </w:r>
      <w:r>
        <w:rPr>
          <w:rFonts w:ascii="仿宋" w:hAnsi="仿宋" w:eastAsia="仿宋"/>
          <w:sz w:val="32"/>
          <w:szCs w:val="32"/>
        </w:rPr>
        <w:t>大于等于3000个标准机架</w:t>
      </w:r>
      <w:r>
        <w:rPr>
          <w:rFonts w:hint="eastAsia" w:ascii="仿宋" w:hAnsi="仿宋" w:eastAsia="仿宋"/>
          <w:sz w:val="32"/>
          <w:szCs w:val="32"/>
        </w:rPr>
        <w:t>）数据中心情况上报我局。建立数据中心全生命周期管理机制，加强在建和在用数据中心算力数据、存力数据、运力数据报送，评估跟进算力网络布局重大项目进展。组织开展安全生产、运营规范和接入资源等相关专项检查，落实网络和数据安全各项监管措施。</w:t>
      </w:r>
    </w:p>
    <w:p>
      <w:pPr>
        <w:ind w:firstLine="640" w:firstLineChars="200"/>
        <w:rPr>
          <w:rFonts w:ascii="楷体" w:hAnsi="楷体" w:eastAsia="楷体"/>
          <w:sz w:val="32"/>
          <w:szCs w:val="32"/>
        </w:rPr>
      </w:pPr>
      <w:r>
        <w:rPr>
          <w:rFonts w:hint="eastAsia" w:ascii="楷体" w:hAnsi="楷体" w:eastAsia="楷体"/>
          <w:sz w:val="32"/>
          <w:szCs w:val="32"/>
        </w:rPr>
        <w:t>(四)强化人才培育</w:t>
      </w:r>
    </w:p>
    <w:p>
      <w:pPr>
        <w:ind w:firstLine="640" w:firstLineChars="200"/>
        <w:rPr>
          <w:rFonts w:ascii="仿宋" w:hAnsi="仿宋" w:eastAsia="仿宋"/>
          <w:sz w:val="32"/>
          <w:szCs w:val="32"/>
        </w:rPr>
      </w:pPr>
      <w:r>
        <w:rPr>
          <w:rFonts w:hint="eastAsia" w:ascii="仿宋" w:hAnsi="仿宋" w:eastAsia="仿宋"/>
          <w:sz w:val="32"/>
          <w:szCs w:val="32"/>
        </w:rPr>
        <w:t>各基础电信运营企业在人才培育中要发挥主体作用，加大国际一流算力网络技术人才和科研团队引进力度，采取挂职兼职、技术咨询、特岗特聘等方式引进急需紧缺高层次人才。按需举办算力网络专题培训，对算力网络建设维护专业技术人员和企业负责人开展算力网络培训，努力打造一支懂技术、会管理，具有战略眼光和开拓精神的工作人员队伍。</w:t>
      </w:r>
    </w:p>
    <w:p>
      <w:pPr>
        <w:ind w:firstLine="640" w:firstLineChars="200"/>
        <w:rPr>
          <w:rFonts w:ascii="仿宋" w:hAnsi="仿宋" w:eastAsia="仿宋"/>
          <w:sz w:val="32"/>
          <w:szCs w:val="32"/>
        </w:rPr>
      </w:pPr>
    </w:p>
    <w:p>
      <w:pPr>
        <w:ind w:firstLine="640" w:firstLineChars="200"/>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附件：名词解释</w:t>
      </w:r>
    </w:p>
    <w:p>
      <w:pPr>
        <w:widowControl/>
        <w:jc w:val="left"/>
        <w:rPr>
          <w:rFonts w:ascii="黑体" w:hAnsi="黑体" w:eastAsia="黑体"/>
          <w:sz w:val="32"/>
          <w:szCs w:val="32"/>
        </w:rPr>
      </w:pPr>
      <w:r>
        <w:rPr>
          <w:rFonts w:hint="eastAsia" w:ascii="黑体" w:hAnsi="黑体" w:eastAsia="黑体"/>
          <w:sz w:val="32"/>
          <w:szCs w:val="32"/>
        </w:rPr>
        <w:t>附件：</w:t>
      </w:r>
    </w:p>
    <w:p>
      <w:pPr>
        <w:ind w:firstLine="880" w:firstLineChars="20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名词解释</w:t>
      </w:r>
    </w:p>
    <w:p>
      <w:pPr>
        <w:ind w:firstLine="720" w:firstLineChars="200"/>
        <w:jc w:val="center"/>
        <w:rPr>
          <w:rFonts w:ascii="方正小标宋_GBK" w:hAnsi="方正小标宋_GBK" w:eastAsia="方正小标宋_GBK"/>
          <w:sz w:val="36"/>
          <w:szCs w:val="36"/>
        </w:rPr>
      </w:pPr>
    </w:p>
    <w:p>
      <w:pPr>
        <w:ind w:firstLine="642" w:firstLineChars="200"/>
        <w:rPr>
          <w:rFonts w:ascii="仿宋" w:hAnsi="仿宋" w:eastAsia="仿宋"/>
          <w:b/>
          <w:sz w:val="32"/>
          <w:szCs w:val="32"/>
        </w:rPr>
      </w:pPr>
      <w:r>
        <w:rPr>
          <w:rFonts w:hint="eastAsia" w:ascii="仿宋" w:hAnsi="仿宋" w:eastAsia="仿宋"/>
          <w:b/>
          <w:sz w:val="32"/>
          <w:szCs w:val="32"/>
        </w:rPr>
        <w:t>1.算力基础设施</w:t>
      </w:r>
    </w:p>
    <w:p>
      <w:pPr>
        <w:ind w:firstLine="640" w:firstLineChars="200"/>
        <w:rPr>
          <w:rFonts w:ascii="仿宋" w:hAnsi="仿宋" w:eastAsia="仿宋"/>
          <w:sz w:val="32"/>
          <w:szCs w:val="32"/>
        </w:rPr>
      </w:pPr>
      <w:r>
        <w:rPr>
          <w:rFonts w:hint="eastAsia" w:ascii="仿宋" w:hAnsi="仿宋" w:eastAsia="仿宋"/>
          <w:sz w:val="32"/>
          <w:szCs w:val="32"/>
        </w:rPr>
        <w:t>是集信息计算力、网络运载力、数据存储力于一体的新型信息基础设施，可实现信息的集中计算、存储、传输与应用，呈现多元泛在、智能敏捷、安全可靠、绿色低碳等特征，对助推产业转型升级、赋能我国科技创新、满足人民美好生活和实现社会高效能治理具有重要意义。</w:t>
      </w:r>
    </w:p>
    <w:p>
      <w:pPr>
        <w:ind w:firstLine="642" w:firstLineChars="200"/>
        <w:rPr>
          <w:rFonts w:ascii="仿宋" w:hAnsi="仿宋" w:eastAsia="仿宋"/>
          <w:b/>
          <w:sz w:val="32"/>
          <w:szCs w:val="32"/>
        </w:rPr>
      </w:pPr>
      <w:r>
        <w:rPr>
          <w:rFonts w:hint="eastAsia" w:ascii="仿宋" w:hAnsi="仿宋" w:eastAsia="仿宋"/>
          <w:b/>
          <w:sz w:val="32"/>
          <w:szCs w:val="32"/>
        </w:rPr>
        <w:t>2.计算力（Computational Power,CP）</w:t>
      </w:r>
    </w:p>
    <w:p>
      <w:pPr>
        <w:ind w:firstLine="640" w:firstLineChars="200"/>
        <w:rPr>
          <w:rFonts w:ascii="仿宋" w:hAnsi="仿宋" w:eastAsia="仿宋"/>
          <w:sz w:val="32"/>
          <w:szCs w:val="32"/>
        </w:rPr>
      </w:pPr>
      <w:r>
        <w:rPr>
          <w:rFonts w:ascii="仿宋" w:hAnsi="仿宋" w:eastAsia="仿宋"/>
          <w:sz w:val="32"/>
          <w:szCs w:val="32"/>
        </w:rPr>
        <w:t>是数据中心服务</w:t>
      </w:r>
      <w:r>
        <w:rPr>
          <w:rFonts w:hint="eastAsia" w:ascii="仿宋" w:hAnsi="仿宋" w:eastAsia="仿宋"/>
          <w:sz w:val="32"/>
          <w:szCs w:val="32"/>
        </w:rPr>
        <w:t>器</w:t>
      </w:r>
      <w:r>
        <w:rPr>
          <w:rFonts w:ascii="仿宋" w:hAnsi="仿宋" w:eastAsia="仿宋"/>
          <w:sz w:val="32"/>
          <w:szCs w:val="32"/>
        </w:rPr>
        <w:t>对数据处理并实现结果输出的一种能力，是衡量数据中心计算能力的一个综合指标，包含通用计算能力、超级计算能力和智能计算能力。常用计量单位是每秒执行的浮点运算次数（</w:t>
      </w:r>
      <w:r>
        <w:rPr>
          <w:rFonts w:hint="eastAsia" w:ascii="仿宋" w:hAnsi="仿宋" w:eastAsia="仿宋"/>
          <w:sz w:val="32"/>
          <w:szCs w:val="32"/>
        </w:rPr>
        <w:t>FLOPS，1PFLOPS=10^15FLOPS</w:t>
      </w:r>
      <w:r>
        <w:rPr>
          <w:rFonts w:ascii="仿宋" w:hAnsi="仿宋" w:eastAsia="仿宋"/>
          <w:sz w:val="32"/>
          <w:szCs w:val="32"/>
        </w:rPr>
        <w:t>）</w:t>
      </w:r>
      <w:r>
        <w:rPr>
          <w:rFonts w:hint="eastAsia" w:ascii="仿宋" w:hAnsi="仿宋" w:eastAsia="仿宋"/>
          <w:sz w:val="32"/>
          <w:szCs w:val="32"/>
        </w:rPr>
        <w:t>,数值越大代表综合计算能力越强。</w:t>
      </w:r>
    </w:p>
    <w:p>
      <w:pPr>
        <w:ind w:firstLine="642" w:firstLineChars="200"/>
        <w:rPr>
          <w:rFonts w:ascii="仿宋" w:hAnsi="仿宋" w:eastAsia="仿宋"/>
          <w:b/>
          <w:sz w:val="32"/>
          <w:szCs w:val="32"/>
        </w:rPr>
      </w:pPr>
      <w:r>
        <w:rPr>
          <w:rFonts w:hint="eastAsia" w:ascii="仿宋" w:hAnsi="仿宋" w:eastAsia="仿宋"/>
          <w:b/>
          <w:sz w:val="32"/>
          <w:szCs w:val="32"/>
        </w:rPr>
        <w:t>3.运载力（Network Power,NP）</w:t>
      </w:r>
    </w:p>
    <w:p>
      <w:pPr>
        <w:ind w:firstLine="640" w:firstLineChars="200"/>
        <w:rPr>
          <w:rFonts w:ascii="仿宋" w:hAnsi="仿宋" w:eastAsia="仿宋"/>
          <w:sz w:val="32"/>
          <w:szCs w:val="32"/>
        </w:rPr>
      </w:pPr>
      <w:r>
        <w:rPr>
          <w:rFonts w:ascii="仿宋" w:hAnsi="仿宋" w:eastAsia="仿宋"/>
          <w:sz w:val="32"/>
          <w:szCs w:val="32"/>
        </w:rPr>
        <w:t>是算力设施数据传输能力的表现，包含网络架构、网络带宽、传输时延、智能化管理与调度等在内的综合能力，涉及数据中心内部和数据中心之间的网络传输，是衡量网络传输调度能力的综合指标。</w:t>
      </w:r>
    </w:p>
    <w:p>
      <w:pPr>
        <w:ind w:firstLine="642" w:firstLineChars="200"/>
        <w:rPr>
          <w:rFonts w:ascii="仿宋" w:hAnsi="仿宋" w:eastAsia="仿宋"/>
          <w:b/>
          <w:sz w:val="32"/>
          <w:szCs w:val="32"/>
        </w:rPr>
      </w:pPr>
      <w:r>
        <w:rPr>
          <w:rFonts w:hint="eastAsia" w:ascii="仿宋" w:hAnsi="仿宋" w:eastAsia="仿宋"/>
          <w:b/>
          <w:sz w:val="32"/>
          <w:szCs w:val="32"/>
        </w:rPr>
        <w:t>4.存储力（Storage Power,SP）</w:t>
      </w:r>
    </w:p>
    <w:p>
      <w:pPr>
        <w:ind w:firstLine="640" w:firstLineChars="200"/>
        <w:rPr>
          <w:rFonts w:ascii="仿宋" w:hAnsi="仿宋" w:eastAsia="仿宋"/>
          <w:sz w:val="32"/>
          <w:szCs w:val="32"/>
        </w:rPr>
      </w:pPr>
      <w:r>
        <w:rPr>
          <w:rFonts w:hint="eastAsia" w:ascii="仿宋" w:hAnsi="仿宋" w:eastAsia="仿宋"/>
          <w:sz w:val="32"/>
          <w:szCs w:val="32"/>
        </w:rPr>
        <w:t>是</w:t>
      </w:r>
      <w:r>
        <w:rPr>
          <w:rFonts w:ascii="仿宋" w:hAnsi="仿宋" w:eastAsia="仿宋"/>
          <w:sz w:val="32"/>
          <w:szCs w:val="32"/>
        </w:rPr>
        <w:t>数据中心在数据存储容量、性能表现、安全可靠和绿色低碳四方面的综合能力，是衡量数据中心数据存储能力的一个综合指标，包含存储阵列等外置存储设备和服务器内置存储设备。</w:t>
      </w:r>
    </w:p>
    <w:p>
      <w:pPr>
        <w:ind w:firstLine="642" w:firstLineChars="200"/>
        <w:rPr>
          <w:rFonts w:ascii="仿宋" w:hAnsi="仿宋" w:eastAsia="仿宋"/>
          <w:b/>
          <w:sz w:val="32"/>
          <w:szCs w:val="32"/>
        </w:rPr>
      </w:pPr>
      <w:r>
        <w:rPr>
          <w:rFonts w:hint="eastAsia" w:ascii="仿宋" w:hAnsi="仿宋" w:eastAsia="仿宋"/>
          <w:b/>
          <w:sz w:val="32"/>
          <w:szCs w:val="32"/>
        </w:rPr>
        <w:t>5.智能计算中心</w:t>
      </w:r>
    </w:p>
    <w:p>
      <w:pPr>
        <w:ind w:firstLine="640" w:firstLineChars="200"/>
        <w:rPr>
          <w:rFonts w:ascii="仿宋" w:hAnsi="仿宋" w:eastAsia="仿宋"/>
          <w:sz w:val="32"/>
          <w:szCs w:val="32"/>
        </w:rPr>
      </w:pPr>
      <w:r>
        <w:rPr>
          <w:rFonts w:hint="eastAsia" w:ascii="仿宋" w:hAnsi="仿宋" w:eastAsia="仿宋"/>
          <w:sz w:val="32"/>
          <w:szCs w:val="32"/>
        </w:rPr>
        <w:t>指通过使用大规模异构算力资源，包括通用算力（CPU）和智能算力（GPU、FPGA、ASIC等），主要为人工智能应用（如人工智能深度学习模型开发、模型训练和模型推理等场景）提供所需算力、数据和算法的设施。智能计算中心涵盖设施、硬件、软件，并可提供从底层算力到顶层应用使能的全栈能力。</w:t>
      </w:r>
    </w:p>
    <w:p>
      <w:pPr>
        <w:ind w:firstLine="642" w:firstLineChars="200"/>
        <w:rPr>
          <w:rFonts w:ascii="仿宋" w:hAnsi="仿宋" w:eastAsia="仿宋"/>
          <w:b/>
          <w:sz w:val="32"/>
          <w:szCs w:val="32"/>
        </w:rPr>
      </w:pPr>
      <w:r>
        <w:rPr>
          <w:rFonts w:hint="eastAsia" w:ascii="仿宋" w:hAnsi="仿宋" w:eastAsia="仿宋"/>
          <w:b/>
          <w:sz w:val="32"/>
          <w:szCs w:val="32"/>
        </w:rPr>
        <w:t>6.重点应用场所光传送网（OTN）覆盖率</w:t>
      </w:r>
    </w:p>
    <w:p>
      <w:pPr>
        <w:ind w:firstLine="640" w:firstLineChars="200"/>
        <w:rPr>
          <w:rFonts w:ascii="仿宋" w:hAnsi="仿宋" w:eastAsia="仿宋"/>
          <w:sz w:val="32"/>
          <w:szCs w:val="32"/>
        </w:rPr>
      </w:pPr>
      <w:r>
        <w:rPr>
          <w:rFonts w:hint="eastAsia" w:ascii="仿宋" w:hAnsi="仿宋" w:eastAsia="仿宋"/>
          <w:sz w:val="32"/>
          <w:szCs w:val="32"/>
        </w:rPr>
        <w:t>城市地区已有OTN光接入终端覆盖的楼宇和园区（政务、工业、制造、教育、交通、医疗、金融、汽车、科研院所等行业）总数/上述场所总数。</w:t>
      </w:r>
    </w:p>
    <w:p>
      <w:pPr>
        <w:ind w:firstLine="642" w:firstLineChars="200"/>
        <w:rPr>
          <w:rFonts w:ascii="仿宋" w:hAnsi="仿宋" w:eastAsia="仿宋"/>
          <w:b/>
          <w:sz w:val="32"/>
          <w:szCs w:val="32"/>
        </w:rPr>
      </w:pPr>
      <w:r>
        <w:rPr>
          <w:rFonts w:hint="eastAsia" w:ascii="仿宋" w:hAnsi="仿宋" w:eastAsia="仿宋"/>
          <w:b/>
          <w:sz w:val="32"/>
          <w:szCs w:val="32"/>
        </w:rPr>
        <w:t>7.算力灵活调度（SRv6）节点占比</w:t>
      </w:r>
    </w:p>
    <w:p>
      <w:pPr>
        <w:ind w:firstLine="640" w:firstLineChars="200"/>
        <w:rPr>
          <w:rFonts w:ascii="仿宋" w:hAnsi="仿宋" w:eastAsia="仿宋"/>
          <w:sz w:val="32"/>
          <w:szCs w:val="32"/>
        </w:rPr>
      </w:pPr>
      <w:r>
        <w:rPr>
          <w:rFonts w:hint="eastAsia" w:ascii="仿宋" w:hAnsi="仿宋" w:eastAsia="仿宋"/>
          <w:sz w:val="32"/>
          <w:szCs w:val="32"/>
        </w:rPr>
        <w:t>所有数据中心站点和城市核心传输站点已部署SRv6核心路由器的数目/总节点数。</w:t>
      </w:r>
    </w:p>
    <w:p>
      <w:pPr>
        <w:ind w:firstLine="642" w:firstLineChars="200"/>
        <w:rPr>
          <w:rFonts w:ascii="仿宋" w:hAnsi="仿宋" w:eastAsia="仿宋"/>
          <w:sz w:val="32"/>
          <w:szCs w:val="32"/>
        </w:rPr>
      </w:pPr>
      <w:r>
        <w:rPr>
          <w:rFonts w:hint="eastAsia" w:ascii="仿宋" w:hAnsi="仿宋" w:eastAsia="仿宋"/>
          <w:b/>
          <w:sz w:val="32"/>
          <w:szCs w:val="32"/>
        </w:rPr>
        <w:t>8. 算力全光调度（OXC）节点占比</w:t>
      </w:r>
    </w:p>
    <w:p>
      <w:pPr>
        <w:ind w:firstLine="640" w:firstLineChars="200"/>
        <w:rPr>
          <w:rFonts w:ascii="仿宋" w:hAnsi="仿宋" w:eastAsia="仿宋"/>
          <w:sz w:val="32"/>
          <w:szCs w:val="32"/>
        </w:rPr>
      </w:pPr>
      <w:r>
        <w:rPr>
          <w:rFonts w:hint="eastAsia" w:ascii="仿宋" w:hAnsi="仿宋" w:eastAsia="仿宋"/>
          <w:sz w:val="32"/>
          <w:szCs w:val="32"/>
        </w:rPr>
        <w:t>所有数据中心站点和城市核心传输站点已部署全光交换（OXC）传输设备的数目/总节点数；</w:t>
      </w:r>
    </w:p>
    <w:p>
      <w:pPr>
        <w:ind w:firstLine="642" w:firstLineChars="200"/>
        <w:rPr>
          <w:rFonts w:ascii="仿宋" w:hAnsi="仿宋" w:eastAsia="仿宋"/>
          <w:b/>
          <w:sz w:val="32"/>
          <w:szCs w:val="32"/>
        </w:rPr>
      </w:pPr>
      <w:r>
        <w:rPr>
          <w:rFonts w:hint="eastAsia" w:ascii="仿宋" w:hAnsi="仿宋" w:eastAsia="仿宋"/>
          <w:b/>
          <w:sz w:val="32"/>
          <w:szCs w:val="32"/>
        </w:rPr>
        <w:t>9.先进存储</w:t>
      </w:r>
    </w:p>
    <w:p>
      <w:pPr>
        <w:ind w:firstLine="640" w:firstLineChars="200"/>
        <w:rPr>
          <w:rFonts w:ascii="仿宋" w:hAnsi="仿宋" w:eastAsia="仿宋"/>
          <w:sz w:val="32"/>
          <w:szCs w:val="32"/>
        </w:rPr>
      </w:pPr>
      <w:r>
        <w:rPr>
          <w:rFonts w:hint="eastAsia" w:ascii="仿宋" w:hAnsi="仿宋" w:eastAsia="仿宋"/>
          <w:sz w:val="32"/>
          <w:szCs w:val="32"/>
        </w:rPr>
        <w:t>指应用全闪存、SSD等先进存储部件，采用存算分离、高密等先进技术，单位容量数据操作能力达到万IOPS（每秒读写次数）以上的存储模块；</w:t>
      </w:r>
    </w:p>
    <w:p>
      <w:pPr>
        <w:ind w:firstLine="642" w:firstLineChars="200"/>
        <w:rPr>
          <w:rFonts w:ascii="仿宋" w:hAnsi="仿宋" w:eastAsia="仿宋"/>
          <w:b/>
          <w:sz w:val="32"/>
          <w:szCs w:val="32"/>
        </w:rPr>
      </w:pPr>
      <w:r>
        <w:rPr>
          <w:rFonts w:hint="eastAsia" w:ascii="仿宋" w:hAnsi="仿宋" w:eastAsia="仿宋"/>
          <w:b/>
          <w:sz w:val="32"/>
          <w:szCs w:val="32"/>
        </w:rPr>
        <w:t>10.数据中心电能利用效率（PUE）</w:t>
      </w:r>
    </w:p>
    <w:p>
      <w:pPr>
        <w:ind w:firstLine="640" w:firstLineChars="200"/>
        <w:rPr>
          <w:rFonts w:ascii="仿宋" w:hAnsi="仿宋" w:eastAsia="仿宋"/>
          <w:sz w:val="32"/>
          <w:szCs w:val="32"/>
        </w:rPr>
      </w:pPr>
      <w:r>
        <w:rPr>
          <w:rFonts w:hint="eastAsia" w:ascii="仿宋" w:hAnsi="仿宋" w:eastAsia="仿宋"/>
          <w:sz w:val="32"/>
          <w:szCs w:val="32"/>
        </w:rPr>
        <w:t>指数据中心总耗电量与数据中心IT设备耗电量的比值，一般用年均PUE值衡量。计算公式为：PUE=</w:t>
      </w:r>
      <m:oMath>
        <m:sSub>
          <m:sSubPr>
            <m:ctrlPr>
              <w:rPr>
                <w:rFonts w:ascii="Cambria Math" w:hAnsi="Cambria Math" w:eastAsia="仿宋"/>
                <w:sz w:val="32"/>
                <w:szCs w:val="32"/>
              </w:rPr>
            </m:ctrlPr>
          </m:sSubPr>
          <m:e>
            <m:r>
              <m:rPr>
                <m:sty m:val="p"/>
              </m:rPr>
              <w:rPr>
                <w:rFonts w:ascii="Cambria Math" w:hAnsi="Cambria Math" w:eastAsia="仿宋"/>
                <w:sz w:val="32"/>
                <w:szCs w:val="32"/>
              </w:rPr>
              <m:t>P</m:t>
            </m:r>
            <m:ctrlPr>
              <w:rPr>
                <w:rFonts w:ascii="Cambria Math" w:hAnsi="Cambria Math" w:eastAsia="仿宋"/>
                <w:sz w:val="32"/>
                <w:szCs w:val="32"/>
              </w:rPr>
            </m:ctrlPr>
          </m:e>
          <m:sub>
            <m:r>
              <m:rPr>
                <m:sty m:val="p"/>
              </m:rPr>
              <w:rPr>
                <w:rFonts w:ascii="Cambria Math" w:hAnsi="Cambria Math" w:eastAsia="仿宋"/>
                <w:sz w:val="32"/>
                <w:szCs w:val="32"/>
              </w:rPr>
              <m:t>Total</m:t>
            </m:r>
            <m:ctrlPr>
              <w:rPr>
                <w:rFonts w:ascii="Cambria Math" w:hAnsi="Cambria Math" w:eastAsia="仿宋"/>
                <w:sz w:val="32"/>
                <w:szCs w:val="32"/>
              </w:rPr>
            </m:ctrlPr>
          </m:sub>
        </m:sSub>
      </m:oMath>
      <w:r>
        <w:rPr>
          <w:rFonts w:hint="eastAsia" w:ascii="仿宋" w:hAnsi="仿宋" w:eastAsia="仿宋"/>
          <w:sz w:val="32"/>
          <w:szCs w:val="32"/>
        </w:rPr>
        <w:t>/</w:t>
      </w:r>
      <m:oMath>
        <m:sSub>
          <m:sSubPr>
            <m:ctrlPr>
              <w:rPr>
                <w:rFonts w:ascii="Cambria Math" w:hAnsi="Cambria Math" w:eastAsia="仿宋"/>
                <w:sz w:val="32"/>
                <w:szCs w:val="32"/>
              </w:rPr>
            </m:ctrlPr>
          </m:sSubPr>
          <m:e>
            <m:r>
              <m:rPr>
                <m:sty m:val="p"/>
              </m:rPr>
              <w:rPr>
                <w:rFonts w:ascii="Cambria Math" w:hAnsi="Cambria Math" w:eastAsia="仿宋"/>
                <w:sz w:val="32"/>
                <w:szCs w:val="32"/>
              </w:rPr>
              <m:t>P</m:t>
            </m:r>
            <m:ctrlPr>
              <w:rPr>
                <w:rFonts w:ascii="Cambria Math" w:hAnsi="Cambria Math" w:eastAsia="仿宋"/>
                <w:sz w:val="32"/>
                <w:szCs w:val="32"/>
              </w:rPr>
            </m:ctrlPr>
          </m:e>
          <m:sub>
            <m:r>
              <m:rPr>
                <m:sty m:val="p"/>
              </m:rPr>
              <w:rPr>
                <w:rFonts w:ascii="Cambria Math" w:hAnsi="Cambria Math" w:eastAsia="仿宋"/>
                <w:sz w:val="32"/>
                <w:szCs w:val="32"/>
              </w:rPr>
              <m:t>IT</m:t>
            </m:r>
            <m:ctrlPr>
              <w:rPr>
                <w:rFonts w:ascii="Cambria Math" w:hAnsi="Cambria Math" w:eastAsia="仿宋"/>
                <w:sz w:val="32"/>
                <w:szCs w:val="32"/>
              </w:rPr>
            </m:ctrlPr>
          </m:sub>
        </m:sSub>
      </m:oMath>
      <w:r>
        <w:rPr>
          <w:rFonts w:hint="eastAsia" w:ascii="仿宋" w:hAnsi="仿宋" w:eastAsia="仿宋"/>
          <w:sz w:val="32"/>
          <w:szCs w:val="32"/>
        </w:rPr>
        <w:t>。</w:t>
      </w:r>
    </w:p>
    <w:p>
      <w:pPr>
        <w:ind w:firstLine="642" w:firstLineChars="200"/>
        <w:rPr>
          <w:rFonts w:ascii="仿宋" w:hAnsi="仿宋" w:eastAsia="仿宋"/>
          <w:b/>
          <w:sz w:val="32"/>
          <w:szCs w:val="32"/>
        </w:rPr>
      </w:pPr>
      <w:r>
        <w:rPr>
          <w:rFonts w:hint="eastAsia" w:ascii="仿宋" w:hAnsi="仿宋" w:eastAsia="仿宋"/>
          <w:b/>
          <w:sz w:val="32"/>
          <w:szCs w:val="32"/>
        </w:rPr>
        <w:t>11.数据中心水能利用效率（WUE）</w:t>
      </w:r>
    </w:p>
    <w:p>
      <w:pPr>
        <w:ind w:firstLine="640" w:firstLineChars="200"/>
        <w:rPr>
          <w:rFonts w:ascii="仿宋" w:hAnsi="仿宋" w:eastAsia="仿宋"/>
          <w:sz w:val="32"/>
          <w:szCs w:val="32"/>
        </w:rPr>
      </w:pPr>
      <w:r>
        <w:rPr>
          <w:rFonts w:hint="eastAsia" w:ascii="仿宋" w:hAnsi="仿宋" w:eastAsia="仿宋"/>
          <w:sz w:val="32"/>
          <w:szCs w:val="32"/>
        </w:rPr>
        <w:t>指数据中心总耗水量与数据中心IT设备耗电量的比值，一般用年均WUE值衡量。计算公式为：WUE=</w:t>
      </w:r>
      <m:oMath>
        <m:sSub>
          <m:sSubPr>
            <m:ctrlPr>
              <w:rPr>
                <w:rFonts w:ascii="Cambria Math" w:hAnsi="Cambria Math" w:eastAsia="仿宋"/>
                <w:sz w:val="32"/>
                <w:szCs w:val="32"/>
              </w:rPr>
            </m:ctrlPr>
          </m:sSubPr>
          <m:e>
            <m:r>
              <m:rPr>
                <m:sty m:val="p"/>
              </m:rPr>
              <w:rPr>
                <w:rFonts w:ascii="Cambria Math" w:hAnsi="Cambria Math" w:eastAsia="仿宋"/>
                <w:sz w:val="32"/>
                <w:szCs w:val="32"/>
              </w:rPr>
              <m:t>L</m:t>
            </m:r>
            <m:ctrlPr>
              <w:rPr>
                <w:rFonts w:ascii="Cambria Math" w:hAnsi="Cambria Math" w:eastAsia="仿宋"/>
                <w:sz w:val="32"/>
                <w:szCs w:val="32"/>
              </w:rPr>
            </m:ctrlPr>
          </m:e>
          <m:sub>
            <m:r>
              <m:rPr>
                <m:sty m:val="p"/>
              </m:rPr>
              <w:rPr>
                <w:rFonts w:ascii="Cambria Math" w:hAnsi="Cambria Math" w:eastAsia="仿宋"/>
                <w:sz w:val="32"/>
                <w:szCs w:val="32"/>
              </w:rPr>
              <m:t>总耗水</m:t>
            </m:r>
            <m:ctrlPr>
              <w:rPr>
                <w:rFonts w:ascii="Cambria Math" w:hAnsi="Cambria Math" w:eastAsia="仿宋"/>
                <w:sz w:val="32"/>
                <w:szCs w:val="32"/>
              </w:rPr>
            </m:ctrlPr>
          </m:sub>
        </m:sSub>
      </m:oMath>
      <w:r>
        <w:rPr>
          <w:rFonts w:hint="eastAsia" w:ascii="仿宋" w:hAnsi="仿宋" w:eastAsia="仿宋"/>
          <w:sz w:val="32"/>
          <w:szCs w:val="32"/>
        </w:rPr>
        <w:t>/</w:t>
      </w:r>
      <m:oMath>
        <m:sSub>
          <m:sSubPr>
            <m:ctrlPr>
              <w:rPr>
                <w:rFonts w:ascii="Cambria Math" w:hAnsi="Cambria Math" w:eastAsia="仿宋"/>
                <w:sz w:val="32"/>
                <w:szCs w:val="32"/>
              </w:rPr>
            </m:ctrlPr>
          </m:sSubPr>
          <m:e>
            <m:r>
              <m:rPr>
                <m:sty m:val="p"/>
              </m:rPr>
              <w:rPr>
                <w:rFonts w:ascii="Cambria Math" w:hAnsi="Cambria Math" w:eastAsia="仿宋"/>
                <w:sz w:val="32"/>
                <w:szCs w:val="32"/>
              </w:rPr>
              <m:t>P</m:t>
            </m:r>
            <m:ctrlPr>
              <w:rPr>
                <w:rFonts w:ascii="Cambria Math" w:hAnsi="Cambria Math" w:eastAsia="仿宋"/>
                <w:sz w:val="32"/>
                <w:szCs w:val="32"/>
              </w:rPr>
            </m:ctrlPr>
          </m:e>
          <m:sub>
            <m:r>
              <m:rPr>
                <m:sty m:val="p"/>
              </m:rPr>
              <w:rPr>
                <w:rFonts w:ascii="Cambria Math" w:hAnsi="Cambria Math" w:eastAsia="仿宋"/>
                <w:sz w:val="32"/>
                <w:szCs w:val="32"/>
              </w:rPr>
              <m:t>IT</m:t>
            </m:r>
            <m:ctrlPr>
              <w:rPr>
                <w:rFonts w:ascii="Cambria Math" w:hAnsi="Cambria Math" w:eastAsia="仿宋"/>
                <w:sz w:val="32"/>
                <w:szCs w:val="32"/>
              </w:rPr>
            </m:ctrlPr>
          </m:sub>
        </m:sSub>
      </m:oMath>
      <w:r>
        <w:rPr>
          <w:rFonts w:hint="eastAsia" w:ascii="仿宋" w:hAnsi="仿宋" w:eastAsia="仿宋"/>
          <w:sz w:val="32"/>
          <w:szCs w:val="32"/>
        </w:rPr>
        <w:t>。</w:t>
      </w:r>
    </w:p>
    <w:p>
      <w:pPr>
        <w:ind w:firstLine="642" w:firstLineChars="200"/>
        <w:rPr>
          <w:rFonts w:ascii="仿宋" w:hAnsi="仿宋" w:eastAsia="仿宋"/>
          <w:b/>
          <w:sz w:val="32"/>
          <w:szCs w:val="32"/>
        </w:rPr>
      </w:pPr>
      <w:r>
        <w:rPr>
          <w:rFonts w:hint="eastAsia" w:ascii="仿宋" w:hAnsi="仿宋" w:eastAsia="仿宋"/>
          <w:b/>
          <w:sz w:val="32"/>
          <w:szCs w:val="32"/>
        </w:rPr>
        <w:t>12.数据中心碳利用效率（CUE）</w:t>
      </w:r>
    </w:p>
    <w:p>
      <w:pPr>
        <w:ind w:firstLine="640" w:firstLineChars="200"/>
        <w:rPr>
          <w:rFonts w:ascii="仿宋" w:hAnsi="仿宋" w:eastAsia="仿宋"/>
          <w:sz w:val="32"/>
          <w:szCs w:val="32"/>
        </w:rPr>
      </w:pPr>
      <w:r>
        <w:rPr>
          <w:rFonts w:hint="eastAsia" w:ascii="仿宋" w:hAnsi="仿宋" w:eastAsia="仿宋"/>
          <w:sz w:val="32"/>
          <w:szCs w:val="32"/>
        </w:rPr>
        <w:t>指数据中心二氧化碳总排放量与数据中心IT设备耗电量的比值，一般用年均CUE值衡量。计算公式为：CUE=</w:t>
      </w:r>
      <m:oMath>
        <m:sSub>
          <m:sSubPr>
            <m:ctrlPr>
              <w:rPr>
                <w:rFonts w:ascii="Cambria Math" w:hAnsi="Cambria Math" w:eastAsia="仿宋"/>
                <w:sz w:val="32"/>
                <w:szCs w:val="32"/>
              </w:rPr>
            </m:ctrlPr>
          </m:sSubPr>
          <m:e>
            <m:r>
              <m:rPr>
                <m:sty m:val="p"/>
              </m:rPr>
              <w:rPr>
                <w:rFonts w:ascii="Cambria Math" w:hAnsi="Cambria Math" w:eastAsia="仿宋"/>
                <w:sz w:val="32"/>
                <w:szCs w:val="32"/>
              </w:rPr>
              <m:t>E</m:t>
            </m:r>
            <m:ctrlPr>
              <w:rPr>
                <w:rFonts w:ascii="Cambria Math" w:hAnsi="Cambria Math" w:eastAsia="仿宋"/>
                <w:sz w:val="32"/>
                <w:szCs w:val="32"/>
              </w:rPr>
            </m:ctrlPr>
          </m:e>
          <m:sub>
            <m:r>
              <m:rPr>
                <m:sty m:val="p"/>
              </m:rPr>
              <w:rPr>
                <w:rFonts w:ascii="Cambria Math" w:hAnsi="Cambria Math" w:eastAsia="仿宋"/>
                <w:sz w:val="32"/>
                <w:szCs w:val="32"/>
              </w:rPr>
              <m:t>排放量</m:t>
            </m:r>
            <m:ctrlPr>
              <w:rPr>
                <w:rFonts w:ascii="Cambria Math" w:hAnsi="Cambria Math" w:eastAsia="仿宋"/>
                <w:sz w:val="32"/>
                <w:szCs w:val="32"/>
              </w:rPr>
            </m:ctrlPr>
          </m:sub>
        </m:sSub>
      </m:oMath>
      <w:r>
        <w:rPr>
          <w:rFonts w:hint="eastAsia" w:ascii="仿宋" w:hAnsi="仿宋" w:eastAsia="仿宋"/>
          <w:sz w:val="32"/>
          <w:szCs w:val="32"/>
        </w:rPr>
        <w:t>/</w:t>
      </w:r>
      <m:oMath>
        <m:sSub>
          <m:sSubPr>
            <m:ctrlPr>
              <w:rPr>
                <w:rFonts w:ascii="Cambria Math" w:hAnsi="Cambria Math" w:eastAsia="仿宋"/>
                <w:sz w:val="32"/>
                <w:szCs w:val="32"/>
              </w:rPr>
            </m:ctrlPr>
          </m:sSubPr>
          <m:e>
            <m:r>
              <m:rPr>
                <m:sty m:val="p"/>
              </m:rPr>
              <w:rPr>
                <w:rFonts w:ascii="Cambria Math" w:hAnsi="Cambria Math" w:eastAsia="仿宋"/>
                <w:sz w:val="32"/>
                <w:szCs w:val="32"/>
              </w:rPr>
              <m:t>P</m:t>
            </m:r>
            <m:ctrlPr>
              <w:rPr>
                <w:rFonts w:ascii="Cambria Math" w:hAnsi="Cambria Math" w:eastAsia="仿宋"/>
                <w:sz w:val="32"/>
                <w:szCs w:val="32"/>
              </w:rPr>
            </m:ctrlPr>
          </m:e>
          <m:sub>
            <m:r>
              <m:rPr>
                <m:sty m:val="p"/>
              </m:rPr>
              <w:rPr>
                <w:rFonts w:ascii="Cambria Math" w:hAnsi="Cambria Math" w:eastAsia="仿宋"/>
                <w:sz w:val="32"/>
                <w:szCs w:val="32"/>
              </w:rPr>
              <m:t>IT</m:t>
            </m:r>
            <m:ctrlPr>
              <w:rPr>
                <w:rFonts w:ascii="Cambria Math" w:hAnsi="Cambria Math" w:eastAsia="仿宋"/>
                <w:sz w:val="32"/>
                <w:szCs w:val="32"/>
              </w:rPr>
            </m:ctrlPr>
          </m:sub>
        </m:sSub>
      </m:oMath>
      <w:r>
        <w:rPr>
          <w:rFonts w:hint="eastAsia" w:ascii="仿宋" w:hAnsi="仿宋" w:eastAsia="仿宋"/>
          <w:sz w:val="32"/>
          <w:szCs w:val="32"/>
        </w:rPr>
        <w:t>。</w:t>
      </w:r>
    </w:p>
    <w:p/>
    <w:p>
      <w:pPr>
        <w:ind w:firstLine="880" w:firstLineChars="200"/>
        <w:rPr>
          <w:rFonts w:ascii="方正小标宋_GBK" w:hAnsi="方正小标宋_GBK" w:eastAsia="方正小标宋_GBK"/>
          <w:sz w:val="44"/>
          <w:szCs w:val="44"/>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ambria Math">
    <w:altName w:val="DejaVu Math TeX Gyre"/>
    <w:panose1 w:val="02040503050406030204"/>
    <w:charset w:val="00"/>
    <w:family w:val="roman"/>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6863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2EF7"/>
    <w:rsid w:val="00006FA9"/>
    <w:rsid w:val="00063C53"/>
    <w:rsid w:val="000931CF"/>
    <w:rsid w:val="000C417F"/>
    <w:rsid w:val="000F2EF7"/>
    <w:rsid w:val="00104236"/>
    <w:rsid w:val="00124C31"/>
    <w:rsid w:val="0015292A"/>
    <w:rsid w:val="001850C5"/>
    <w:rsid w:val="001D68B3"/>
    <w:rsid w:val="001E5CB2"/>
    <w:rsid w:val="0023485E"/>
    <w:rsid w:val="00235B45"/>
    <w:rsid w:val="00286BD2"/>
    <w:rsid w:val="002A6A5B"/>
    <w:rsid w:val="002D02BD"/>
    <w:rsid w:val="003378E5"/>
    <w:rsid w:val="0035044A"/>
    <w:rsid w:val="0038489C"/>
    <w:rsid w:val="003A7709"/>
    <w:rsid w:val="003C4082"/>
    <w:rsid w:val="0042401F"/>
    <w:rsid w:val="00426364"/>
    <w:rsid w:val="00437628"/>
    <w:rsid w:val="004D14BC"/>
    <w:rsid w:val="005166AC"/>
    <w:rsid w:val="0056517F"/>
    <w:rsid w:val="00565B1B"/>
    <w:rsid w:val="005C3AD0"/>
    <w:rsid w:val="005C4BD4"/>
    <w:rsid w:val="005D123D"/>
    <w:rsid w:val="00686615"/>
    <w:rsid w:val="006E76E2"/>
    <w:rsid w:val="007226AC"/>
    <w:rsid w:val="007251EE"/>
    <w:rsid w:val="007737DB"/>
    <w:rsid w:val="007F0646"/>
    <w:rsid w:val="007F08A1"/>
    <w:rsid w:val="00825E27"/>
    <w:rsid w:val="00830085"/>
    <w:rsid w:val="00843C3E"/>
    <w:rsid w:val="008E30FD"/>
    <w:rsid w:val="008F37FB"/>
    <w:rsid w:val="00954215"/>
    <w:rsid w:val="009932B0"/>
    <w:rsid w:val="009D58EB"/>
    <w:rsid w:val="009D6A7A"/>
    <w:rsid w:val="00A35061"/>
    <w:rsid w:val="00A80584"/>
    <w:rsid w:val="00AA794C"/>
    <w:rsid w:val="00AB737E"/>
    <w:rsid w:val="00AC723B"/>
    <w:rsid w:val="00AF0B4E"/>
    <w:rsid w:val="00B63B5E"/>
    <w:rsid w:val="00BA2CC7"/>
    <w:rsid w:val="00BE6E40"/>
    <w:rsid w:val="00BF76C5"/>
    <w:rsid w:val="00C226D7"/>
    <w:rsid w:val="00C732B3"/>
    <w:rsid w:val="00CD49B3"/>
    <w:rsid w:val="00CE6C1D"/>
    <w:rsid w:val="00CF6E7A"/>
    <w:rsid w:val="00D10873"/>
    <w:rsid w:val="00D26E96"/>
    <w:rsid w:val="00EC525C"/>
    <w:rsid w:val="00EC681A"/>
    <w:rsid w:val="00EF23AA"/>
    <w:rsid w:val="00F2480B"/>
    <w:rsid w:val="00F31769"/>
    <w:rsid w:val="00FA650F"/>
    <w:rsid w:val="327D0F41"/>
    <w:rsid w:val="389B0B7C"/>
    <w:rsid w:val="3FBBB0D6"/>
    <w:rsid w:val="4300223B"/>
    <w:rsid w:val="7A7B8F1B"/>
    <w:rsid w:val="7FD770A7"/>
    <w:rsid w:val="FCFDCC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kern w:val="2"/>
      <w:sz w:val="18"/>
      <w:szCs w:val="18"/>
    </w:rPr>
  </w:style>
  <w:style w:type="character" w:customStyle="1" w:styleId="8">
    <w:name w:val="页脚 Char"/>
    <w:basedOn w:val="6"/>
    <w:link w:val="3"/>
    <w:qFormat/>
    <w:uiPriority w:val="99"/>
    <w:rPr>
      <w:kern w:val="2"/>
      <w:sz w:val="18"/>
      <w:szCs w:val="18"/>
    </w:rPr>
  </w:style>
  <w:style w:type="character" w:styleId="9">
    <w:name w:val="Placeholder Text"/>
    <w:basedOn w:val="6"/>
    <w:unhideWhenUsed/>
    <w:qFormat/>
    <w:uiPriority w:val="99"/>
    <w:rPr>
      <w:color w:val="808080"/>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905</Words>
  <Characters>5159</Characters>
  <Lines>42</Lines>
  <Paragraphs>12</Paragraphs>
  <TotalTime>173</TotalTime>
  <ScaleCrop>false</ScaleCrop>
  <LinksUpToDate>false</LinksUpToDate>
  <CharactersWithSpaces>6052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2024-03-20T20:31:00Z</dcterms:created>
  <dc:creator>zhangxiaohui@di.cmcc</dc:creator>
  <cp:lastModifiedBy>kylin</cp:lastModifiedBy>
  <cp:lastPrinted>2024-03-26T18:12:00Z</cp:lastPrinted>
  <dcterms:modified xsi:type="dcterms:W3CDTF">2024-04-23T14:45:38Z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287475BD162B495CB0CCA6A797F69941</vt:lpwstr>
  </property>
</Properties>
</file>